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ind w:right="720"/>
        <w:jc w:val="left"/>
        <w:rPr>
          <w:rFonts w:ascii="宋体" w:hAnsi="宋体" w:eastAsia="宋体" w:cs="宋体"/>
          <w:b/>
          <w:color w:val="000000"/>
          <w:kern w:val="0"/>
          <w:sz w:val="24"/>
          <w:szCs w:val="24"/>
          <w14:ligatures w14:val="none"/>
        </w:rPr>
      </w:pPr>
      <w:r>
        <w:rPr>
          <w:rFonts w:hint="eastAsia" w:ascii="宋体" w:hAnsi="宋体" w:eastAsia="宋体" w:cs="宋体"/>
          <w:b/>
          <w:color w:val="000000"/>
          <w:kern w:val="0"/>
          <w:sz w:val="24"/>
          <w:szCs w:val="24"/>
          <w14:ligatures w14:val="none"/>
        </w:rPr>
        <w:t>附件1</w:t>
      </w:r>
    </w:p>
    <w:p>
      <w:pPr>
        <w:tabs>
          <w:tab w:val="left" w:pos="5760"/>
        </w:tabs>
        <w:spacing w:line="360" w:lineRule="auto"/>
        <w:jc w:val="center"/>
        <w:rPr>
          <w:rFonts w:ascii="宋体" w:hAnsi="宋体" w:eastAsia="宋体" w:cs="宋体"/>
          <w:b/>
          <w:sz w:val="28"/>
          <w:szCs w:val="28"/>
          <w14:ligatures w14:val="none"/>
        </w:rPr>
      </w:pPr>
      <w:r>
        <w:rPr>
          <w:rFonts w:hint="eastAsia" w:ascii="宋体" w:hAnsi="宋体" w:eastAsia="宋体" w:cs="宋体"/>
          <w:b/>
          <w:sz w:val="28"/>
          <w:szCs w:val="28"/>
          <w14:ligatures w14:val="none"/>
        </w:rPr>
        <w:t>高压配电柜、高压电缆等供电设备维保内容及相关要求</w:t>
      </w:r>
    </w:p>
    <w:p>
      <w:pPr>
        <w:spacing w:line="360" w:lineRule="auto"/>
        <w:ind w:firstLine="480"/>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一、维护管理供电设备数量：</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446"/>
        <w:gridCol w:w="1767"/>
        <w:gridCol w:w="767"/>
        <w:gridCol w:w="1048"/>
        <w:gridCol w:w="1282"/>
        <w:gridCol w:w="1275"/>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03"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序号</w:t>
            </w:r>
          </w:p>
        </w:tc>
        <w:tc>
          <w:tcPr>
            <w:tcW w:w="1446"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名称</w:t>
            </w:r>
          </w:p>
        </w:tc>
        <w:tc>
          <w:tcPr>
            <w:tcW w:w="1767"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规格型号</w:t>
            </w:r>
          </w:p>
        </w:tc>
        <w:tc>
          <w:tcPr>
            <w:tcW w:w="767"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数量</w:t>
            </w:r>
          </w:p>
        </w:tc>
        <w:tc>
          <w:tcPr>
            <w:tcW w:w="1048"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单位</w:t>
            </w:r>
          </w:p>
        </w:tc>
        <w:tc>
          <w:tcPr>
            <w:tcW w:w="1282"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单价（元）</w:t>
            </w:r>
          </w:p>
        </w:tc>
        <w:tc>
          <w:tcPr>
            <w:tcW w:w="1275"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总价(元）</w:t>
            </w:r>
          </w:p>
        </w:tc>
        <w:tc>
          <w:tcPr>
            <w:tcW w:w="1168"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03"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1</w:t>
            </w:r>
          </w:p>
        </w:tc>
        <w:tc>
          <w:tcPr>
            <w:tcW w:w="1446"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变压器</w:t>
            </w:r>
          </w:p>
        </w:tc>
        <w:tc>
          <w:tcPr>
            <w:tcW w:w="1767"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1250KVA 10台   1000KVA  6台630KAV   1台500KVA   2台</w:t>
            </w:r>
          </w:p>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800KVA   1台</w:t>
            </w:r>
          </w:p>
        </w:tc>
        <w:tc>
          <w:tcPr>
            <w:tcW w:w="767"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21</w:t>
            </w:r>
          </w:p>
        </w:tc>
        <w:tc>
          <w:tcPr>
            <w:tcW w:w="1048"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台</w:t>
            </w:r>
          </w:p>
        </w:tc>
        <w:tc>
          <w:tcPr>
            <w:tcW w:w="1282" w:type="dxa"/>
            <w:vAlign w:val="center"/>
          </w:tcPr>
          <w:p>
            <w:pPr>
              <w:widowControl/>
              <w:spacing w:line="360" w:lineRule="auto"/>
              <w:jc w:val="center"/>
              <w:rPr>
                <w:rFonts w:ascii="宋体" w:hAnsi="宋体" w:eastAsia="宋体" w:cs="宋体"/>
                <w:kern w:val="0"/>
                <w:sz w:val="24"/>
                <w:szCs w:val="24"/>
                <w14:ligatures w14:val="none"/>
              </w:rPr>
            </w:pPr>
          </w:p>
        </w:tc>
        <w:tc>
          <w:tcPr>
            <w:tcW w:w="1275" w:type="dxa"/>
            <w:vAlign w:val="center"/>
          </w:tcPr>
          <w:p>
            <w:pPr>
              <w:widowControl/>
              <w:spacing w:line="360" w:lineRule="auto"/>
              <w:jc w:val="center"/>
              <w:rPr>
                <w:rFonts w:ascii="宋体" w:hAnsi="宋体" w:eastAsia="宋体" w:cs="宋体"/>
                <w:kern w:val="0"/>
                <w:sz w:val="24"/>
                <w:szCs w:val="24"/>
                <w14:ligatures w14:val="none"/>
              </w:rPr>
            </w:pPr>
          </w:p>
        </w:tc>
        <w:tc>
          <w:tcPr>
            <w:tcW w:w="1168" w:type="dxa"/>
            <w:vAlign w:val="center"/>
          </w:tcPr>
          <w:p>
            <w:pPr>
              <w:widowControl/>
              <w:spacing w:line="360" w:lineRule="auto"/>
              <w:jc w:val="center"/>
              <w:rPr>
                <w:rFonts w:ascii="宋体" w:hAnsi="宋体" w:eastAsia="宋体" w:cs="宋体"/>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703"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2</w:t>
            </w:r>
          </w:p>
        </w:tc>
        <w:tc>
          <w:tcPr>
            <w:tcW w:w="1446"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进出高压柜及计量、PT柜</w:t>
            </w:r>
          </w:p>
        </w:tc>
        <w:tc>
          <w:tcPr>
            <w:tcW w:w="1767" w:type="dxa"/>
            <w:vAlign w:val="center"/>
          </w:tcPr>
          <w:p>
            <w:pPr>
              <w:tabs>
                <w:tab w:val="left" w:pos="432"/>
              </w:tabs>
              <w:spacing w:line="360" w:lineRule="auto"/>
              <w:jc w:val="center"/>
              <w:rPr>
                <w:rFonts w:ascii="宋体" w:hAnsi="宋体" w:eastAsia="宋体" w:cs="宋体"/>
                <w:sz w:val="24"/>
                <w:szCs w:val="24"/>
                <w14:ligatures w14:val="none"/>
              </w:rPr>
            </w:pPr>
          </w:p>
        </w:tc>
        <w:tc>
          <w:tcPr>
            <w:tcW w:w="767"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66</w:t>
            </w:r>
          </w:p>
        </w:tc>
        <w:tc>
          <w:tcPr>
            <w:tcW w:w="1048"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台</w:t>
            </w:r>
          </w:p>
        </w:tc>
        <w:tc>
          <w:tcPr>
            <w:tcW w:w="1282" w:type="dxa"/>
            <w:vAlign w:val="center"/>
          </w:tcPr>
          <w:p>
            <w:pPr>
              <w:widowControl/>
              <w:spacing w:line="360" w:lineRule="auto"/>
              <w:jc w:val="center"/>
              <w:rPr>
                <w:rFonts w:ascii="宋体" w:hAnsi="宋体" w:eastAsia="宋体" w:cs="宋体"/>
                <w:kern w:val="0"/>
                <w:sz w:val="24"/>
                <w:szCs w:val="24"/>
                <w14:ligatures w14:val="none"/>
              </w:rPr>
            </w:pPr>
          </w:p>
        </w:tc>
        <w:tc>
          <w:tcPr>
            <w:tcW w:w="1275" w:type="dxa"/>
            <w:vAlign w:val="center"/>
          </w:tcPr>
          <w:p>
            <w:pPr>
              <w:widowControl/>
              <w:spacing w:line="360" w:lineRule="auto"/>
              <w:jc w:val="center"/>
              <w:rPr>
                <w:rFonts w:ascii="宋体" w:hAnsi="宋体" w:eastAsia="宋体" w:cs="宋体"/>
                <w:kern w:val="0"/>
                <w:sz w:val="24"/>
                <w:szCs w:val="24"/>
                <w14:ligatures w14:val="none"/>
              </w:rPr>
            </w:pPr>
          </w:p>
        </w:tc>
        <w:tc>
          <w:tcPr>
            <w:tcW w:w="1168"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Cs w:val="21"/>
                <w14:ligatures w14:val="none"/>
              </w:rPr>
              <w:t>包括高压环网柜及油闸分离开关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703"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3</w:t>
            </w:r>
          </w:p>
        </w:tc>
        <w:tc>
          <w:tcPr>
            <w:tcW w:w="1446"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电力补偿电容柜</w:t>
            </w:r>
          </w:p>
        </w:tc>
        <w:tc>
          <w:tcPr>
            <w:tcW w:w="1767" w:type="dxa"/>
            <w:vAlign w:val="center"/>
          </w:tcPr>
          <w:p>
            <w:pPr>
              <w:tabs>
                <w:tab w:val="left" w:pos="432"/>
              </w:tabs>
              <w:spacing w:line="360" w:lineRule="auto"/>
              <w:jc w:val="center"/>
              <w:rPr>
                <w:rFonts w:ascii="宋体" w:hAnsi="宋体" w:eastAsia="宋体" w:cs="宋体"/>
                <w:sz w:val="24"/>
                <w:szCs w:val="24"/>
                <w14:ligatures w14:val="none"/>
              </w:rPr>
            </w:pPr>
          </w:p>
        </w:tc>
        <w:tc>
          <w:tcPr>
            <w:tcW w:w="767"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26</w:t>
            </w:r>
          </w:p>
        </w:tc>
        <w:tc>
          <w:tcPr>
            <w:tcW w:w="1048"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组</w:t>
            </w:r>
          </w:p>
        </w:tc>
        <w:tc>
          <w:tcPr>
            <w:tcW w:w="1282" w:type="dxa"/>
            <w:vAlign w:val="center"/>
          </w:tcPr>
          <w:p>
            <w:pPr>
              <w:widowControl/>
              <w:spacing w:line="360" w:lineRule="auto"/>
              <w:jc w:val="center"/>
              <w:rPr>
                <w:rFonts w:ascii="宋体" w:hAnsi="宋体" w:eastAsia="宋体" w:cs="宋体"/>
                <w:kern w:val="0"/>
                <w:sz w:val="24"/>
                <w:szCs w:val="24"/>
                <w14:ligatures w14:val="none"/>
              </w:rPr>
            </w:pPr>
          </w:p>
        </w:tc>
        <w:tc>
          <w:tcPr>
            <w:tcW w:w="1275" w:type="dxa"/>
            <w:vAlign w:val="center"/>
          </w:tcPr>
          <w:p>
            <w:pPr>
              <w:widowControl/>
              <w:spacing w:line="360" w:lineRule="auto"/>
              <w:jc w:val="center"/>
              <w:rPr>
                <w:rFonts w:ascii="宋体" w:hAnsi="宋体" w:eastAsia="宋体" w:cs="宋体"/>
                <w:kern w:val="0"/>
                <w:sz w:val="24"/>
                <w:szCs w:val="24"/>
                <w14:ligatures w14:val="none"/>
              </w:rPr>
            </w:pPr>
          </w:p>
        </w:tc>
        <w:tc>
          <w:tcPr>
            <w:tcW w:w="1168" w:type="dxa"/>
            <w:vAlign w:val="center"/>
          </w:tcPr>
          <w:p>
            <w:pPr>
              <w:widowControl/>
              <w:spacing w:line="360" w:lineRule="auto"/>
              <w:jc w:val="center"/>
              <w:rPr>
                <w:rFonts w:ascii="宋体" w:hAnsi="宋体" w:eastAsia="宋体" w:cs="宋体"/>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03"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4</w:t>
            </w:r>
          </w:p>
        </w:tc>
        <w:tc>
          <w:tcPr>
            <w:tcW w:w="1446"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高压电缆</w:t>
            </w:r>
          </w:p>
        </w:tc>
        <w:tc>
          <w:tcPr>
            <w:tcW w:w="1767" w:type="dxa"/>
            <w:vAlign w:val="center"/>
          </w:tcPr>
          <w:p>
            <w:pPr>
              <w:tabs>
                <w:tab w:val="left" w:pos="432"/>
              </w:tabs>
              <w:spacing w:line="360" w:lineRule="auto"/>
              <w:jc w:val="center"/>
              <w:rPr>
                <w:rFonts w:ascii="宋体" w:hAnsi="宋体" w:eastAsia="宋体" w:cs="宋体"/>
                <w:sz w:val="24"/>
                <w:szCs w:val="24"/>
                <w14:ligatures w14:val="none"/>
              </w:rPr>
            </w:pPr>
          </w:p>
        </w:tc>
        <w:tc>
          <w:tcPr>
            <w:tcW w:w="767"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40</w:t>
            </w:r>
          </w:p>
        </w:tc>
        <w:tc>
          <w:tcPr>
            <w:tcW w:w="1048"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条</w:t>
            </w:r>
          </w:p>
        </w:tc>
        <w:tc>
          <w:tcPr>
            <w:tcW w:w="1282" w:type="dxa"/>
            <w:vAlign w:val="center"/>
          </w:tcPr>
          <w:p>
            <w:pPr>
              <w:widowControl/>
              <w:spacing w:line="360" w:lineRule="auto"/>
              <w:jc w:val="center"/>
              <w:rPr>
                <w:rFonts w:ascii="宋体" w:hAnsi="宋体" w:eastAsia="宋体" w:cs="宋体"/>
                <w:kern w:val="0"/>
                <w:sz w:val="24"/>
                <w:szCs w:val="24"/>
                <w14:ligatures w14:val="none"/>
              </w:rPr>
            </w:pPr>
          </w:p>
        </w:tc>
        <w:tc>
          <w:tcPr>
            <w:tcW w:w="1275" w:type="dxa"/>
            <w:vAlign w:val="center"/>
          </w:tcPr>
          <w:p>
            <w:pPr>
              <w:widowControl/>
              <w:spacing w:line="360" w:lineRule="auto"/>
              <w:jc w:val="center"/>
              <w:rPr>
                <w:rFonts w:ascii="宋体" w:hAnsi="宋体" w:eastAsia="宋体" w:cs="宋体"/>
                <w:kern w:val="0"/>
                <w:sz w:val="24"/>
                <w:szCs w:val="24"/>
                <w14:ligatures w14:val="none"/>
              </w:rPr>
            </w:pPr>
          </w:p>
        </w:tc>
        <w:tc>
          <w:tcPr>
            <w:tcW w:w="1168" w:type="dxa"/>
            <w:vAlign w:val="center"/>
          </w:tcPr>
          <w:p>
            <w:pPr>
              <w:widowControl/>
              <w:spacing w:line="360" w:lineRule="auto"/>
              <w:jc w:val="center"/>
              <w:rPr>
                <w:rFonts w:ascii="宋体" w:hAnsi="宋体" w:eastAsia="宋体" w:cs="宋体"/>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703"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5</w:t>
            </w:r>
          </w:p>
        </w:tc>
        <w:tc>
          <w:tcPr>
            <w:tcW w:w="1446"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直流屏</w:t>
            </w:r>
          </w:p>
        </w:tc>
        <w:tc>
          <w:tcPr>
            <w:tcW w:w="1767" w:type="dxa"/>
            <w:vAlign w:val="center"/>
          </w:tcPr>
          <w:p>
            <w:pPr>
              <w:tabs>
                <w:tab w:val="left" w:pos="432"/>
              </w:tabs>
              <w:spacing w:line="360" w:lineRule="auto"/>
              <w:jc w:val="center"/>
              <w:rPr>
                <w:rFonts w:ascii="宋体" w:hAnsi="宋体" w:eastAsia="宋体" w:cs="宋体"/>
                <w:sz w:val="24"/>
                <w:szCs w:val="24"/>
                <w14:ligatures w14:val="none"/>
              </w:rPr>
            </w:pPr>
          </w:p>
        </w:tc>
        <w:tc>
          <w:tcPr>
            <w:tcW w:w="767"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3</w:t>
            </w:r>
          </w:p>
        </w:tc>
        <w:tc>
          <w:tcPr>
            <w:tcW w:w="1048"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套</w:t>
            </w:r>
          </w:p>
        </w:tc>
        <w:tc>
          <w:tcPr>
            <w:tcW w:w="1282" w:type="dxa"/>
            <w:vAlign w:val="center"/>
          </w:tcPr>
          <w:p>
            <w:pPr>
              <w:widowControl/>
              <w:spacing w:line="360" w:lineRule="auto"/>
              <w:jc w:val="center"/>
              <w:rPr>
                <w:rFonts w:ascii="宋体" w:hAnsi="宋体" w:eastAsia="宋体" w:cs="宋体"/>
                <w:kern w:val="0"/>
                <w:sz w:val="24"/>
                <w:szCs w:val="24"/>
                <w14:ligatures w14:val="none"/>
              </w:rPr>
            </w:pPr>
          </w:p>
        </w:tc>
        <w:tc>
          <w:tcPr>
            <w:tcW w:w="1275" w:type="dxa"/>
            <w:vAlign w:val="center"/>
          </w:tcPr>
          <w:p>
            <w:pPr>
              <w:widowControl/>
              <w:spacing w:line="360" w:lineRule="auto"/>
              <w:jc w:val="center"/>
              <w:rPr>
                <w:rFonts w:ascii="宋体" w:hAnsi="宋体" w:eastAsia="宋体" w:cs="宋体"/>
                <w:kern w:val="0"/>
                <w:sz w:val="24"/>
                <w:szCs w:val="24"/>
                <w14:ligatures w14:val="none"/>
              </w:rPr>
            </w:pPr>
          </w:p>
        </w:tc>
        <w:tc>
          <w:tcPr>
            <w:tcW w:w="1168" w:type="dxa"/>
            <w:vAlign w:val="center"/>
          </w:tcPr>
          <w:p>
            <w:pPr>
              <w:widowControl/>
              <w:spacing w:line="360" w:lineRule="auto"/>
              <w:jc w:val="center"/>
              <w:rPr>
                <w:rFonts w:ascii="宋体" w:hAnsi="宋体" w:eastAsia="宋体" w:cs="宋体"/>
                <w:kern w:val="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03"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6</w:t>
            </w:r>
          </w:p>
        </w:tc>
        <w:tc>
          <w:tcPr>
            <w:tcW w:w="1446"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UPS</w:t>
            </w:r>
          </w:p>
        </w:tc>
        <w:tc>
          <w:tcPr>
            <w:tcW w:w="1767" w:type="dxa"/>
            <w:vAlign w:val="center"/>
          </w:tcPr>
          <w:p>
            <w:pPr>
              <w:tabs>
                <w:tab w:val="left" w:pos="432"/>
              </w:tabs>
              <w:spacing w:line="360" w:lineRule="auto"/>
              <w:jc w:val="center"/>
              <w:rPr>
                <w:rFonts w:ascii="宋体" w:hAnsi="宋体" w:eastAsia="宋体" w:cs="宋体"/>
                <w:sz w:val="24"/>
                <w:szCs w:val="24"/>
                <w14:ligatures w14:val="none"/>
              </w:rPr>
            </w:pPr>
          </w:p>
        </w:tc>
        <w:tc>
          <w:tcPr>
            <w:tcW w:w="767"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3</w:t>
            </w:r>
          </w:p>
        </w:tc>
        <w:tc>
          <w:tcPr>
            <w:tcW w:w="1048" w:type="dxa"/>
            <w:vAlign w:val="center"/>
          </w:tcPr>
          <w:p>
            <w:pPr>
              <w:tabs>
                <w:tab w:val="left" w:pos="432"/>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台</w:t>
            </w:r>
          </w:p>
        </w:tc>
        <w:tc>
          <w:tcPr>
            <w:tcW w:w="1282" w:type="dxa"/>
            <w:vAlign w:val="center"/>
          </w:tcPr>
          <w:p>
            <w:pPr>
              <w:widowControl/>
              <w:spacing w:line="360" w:lineRule="auto"/>
              <w:jc w:val="center"/>
              <w:rPr>
                <w:rFonts w:ascii="宋体" w:hAnsi="宋体" w:eastAsia="宋体" w:cs="宋体"/>
                <w:kern w:val="0"/>
                <w:sz w:val="24"/>
                <w:szCs w:val="24"/>
                <w14:ligatures w14:val="none"/>
              </w:rPr>
            </w:pPr>
          </w:p>
        </w:tc>
        <w:tc>
          <w:tcPr>
            <w:tcW w:w="1275" w:type="dxa"/>
            <w:vAlign w:val="center"/>
          </w:tcPr>
          <w:p>
            <w:pPr>
              <w:widowControl/>
              <w:spacing w:line="360" w:lineRule="auto"/>
              <w:jc w:val="center"/>
              <w:rPr>
                <w:rFonts w:ascii="宋体" w:hAnsi="宋体" w:eastAsia="宋体" w:cs="宋体"/>
                <w:kern w:val="0"/>
                <w:sz w:val="24"/>
                <w:szCs w:val="24"/>
                <w14:ligatures w14:val="none"/>
              </w:rPr>
            </w:pPr>
          </w:p>
        </w:tc>
        <w:tc>
          <w:tcPr>
            <w:tcW w:w="1168" w:type="dxa"/>
            <w:vAlign w:val="center"/>
          </w:tcPr>
          <w:p>
            <w:pPr>
              <w:widowControl/>
              <w:spacing w:line="360" w:lineRule="auto"/>
              <w:jc w:val="center"/>
              <w:rPr>
                <w:rFonts w:ascii="宋体" w:hAnsi="宋体" w:eastAsia="宋体" w:cs="宋体"/>
                <w:kern w:val="0"/>
                <w:sz w:val="24"/>
                <w:szCs w:val="24"/>
                <w14:ligatures w14:val="none"/>
              </w:rPr>
            </w:pPr>
            <w:r>
              <w:rPr>
                <w:rFonts w:hint="eastAsia" w:ascii="宋体" w:hAnsi="宋体" w:eastAsia="宋体" w:cs="宋体"/>
                <w:kern w:val="0"/>
                <w:sz w:val="24"/>
                <w:szCs w:val="24"/>
                <w14:ligatures w14:val="none"/>
              </w:rPr>
              <w:t>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9456" w:type="dxa"/>
            <w:gridSpan w:val="8"/>
            <w:vAlign w:val="center"/>
          </w:tcPr>
          <w:p>
            <w:pPr>
              <w:widowControl/>
              <w:spacing w:line="360" w:lineRule="auto"/>
              <w:jc w:val="left"/>
              <w:rPr>
                <w:rFonts w:ascii="宋体" w:hAnsi="宋体" w:eastAsia="宋体" w:cs="宋体"/>
                <w:b/>
                <w:bCs/>
                <w:kern w:val="0"/>
                <w:sz w:val="24"/>
                <w:szCs w:val="24"/>
                <w14:ligatures w14:val="none"/>
              </w:rPr>
            </w:pPr>
            <w:r>
              <w:rPr>
                <w:rFonts w:hint="eastAsia" w:ascii="宋体" w:hAnsi="宋体" w:eastAsia="宋体" w:cs="宋体"/>
                <w:b/>
                <w:bCs/>
                <w:kern w:val="0"/>
                <w:sz w:val="24"/>
                <w:szCs w:val="24"/>
                <w14:ligatures w14:val="none"/>
              </w:rPr>
              <w:t>金额合计</w:t>
            </w:r>
            <w:r>
              <w:rPr>
                <w:rFonts w:hint="eastAsia" w:ascii="宋体" w:hAnsi="宋体" w:eastAsia="宋体" w:cs="Times New Roman"/>
                <w:b/>
                <w:bCs/>
                <w:sz w:val="24"/>
                <w:szCs w:val="24"/>
                <w14:ligatures w14: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7" w:hRule="atLeast"/>
          <w:jc w:val="center"/>
        </w:trPr>
        <w:tc>
          <w:tcPr>
            <w:tcW w:w="9456" w:type="dxa"/>
            <w:gridSpan w:val="8"/>
            <w:vAlign w:val="center"/>
          </w:tcPr>
          <w:p>
            <w:pPr>
              <w:spacing w:line="360" w:lineRule="auto"/>
              <w:contextualSpacing/>
              <w:jc w:val="left"/>
              <w:rPr>
                <w:rFonts w:ascii="宋体" w:hAnsi="宋体" w:eastAsia="宋体" w:cs="仿宋_GB2312"/>
                <w:b/>
                <w:bCs/>
                <w:sz w:val="24"/>
                <w:szCs w:val="24"/>
                <w14:ligatures w14:val="none"/>
              </w:rPr>
            </w:pPr>
            <w:r>
              <w:rPr>
                <w:rFonts w:hint="eastAsia" w:ascii="宋体" w:hAnsi="宋体" w:eastAsia="宋体" w:cs="仿宋_GB2312"/>
                <w:b/>
                <w:bCs/>
                <w:sz w:val="24"/>
                <w:szCs w:val="24"/>
                <w14:ligatures w14:val="none"/>
              </w:rPr>
              <w:t>备注：</w:t>
            </w:r>
          </w:p>
          <w:p>
            <w:pPr>
              <w:spacing w:line="360" w:lineRule="auto"/>
              <w:contextualSpacing/>
              <w:jc w:val="left"/>
              <w:rPr>
                <w:rFonts w:ascii="宋体" w:hAnsi="宋体" w:eastAsia="宋体" w:cs="仿宋_GB2312"/>
                <w:sz w:val="24"/>
                <w:szCs w:val="24"/>
                <w14:ligatures w14:val="none"/>
              </w:rPr>
            </w:pPr>
            <w:r>
              <w:rPr>
                <w:rFonts w:hint="eastAsia" w:ascii="宋体" w:hAnsi="宋体" w:eastAsia="宋体" w:cs="仿宋_GB2312"/>
                <w:sz w:val="24"/>
                <w:szCs w:val="24"/>
                <w14:ligatures w14:val="none"/>
              </w:rPr>
              <w:t>1.以上价格含维保所需工具和劳务，并免费提供市场单价在人民币1000元以下（含本数）配件及辅材，同时给予免费安装，并提供市场价格清单，更换的配件及辅材质保一年。                                         2.单价在1000元以上的配件由甲方负责采购，</w:t>
            </w:r>
            <w:r>
              <w:rPr>
                <w:rFonts w:hint="eastAsia" w:ascii="宋体" w:hAnsi="宋体" w:eastAsia="宋体" w:cs="Times New Roman"/>
                <w:bCs/>
                <w:sz w:val="24"/>
                <w:szCs w:val="24"/>
                <w14:ligatures w14:val="none"/>
              </w:rPr>
              <w:t>乙方负责免费维修更换</w:t>
            </w:r>
            <w:r>
              <w:rPr>
                <w:rFonts w:hint="eastAsia" w:ascii="宋体" w:hAnsi="宋体" w:eastAsia="宋体" w:cs="仿宋_GB2312"/>
                <w:sz w:val="24"/>
                <w:szCs w:val="24"/>
                <w14:ligatures w14:val="none"/>
              </w:rPr>
              <w:t xml:space="preserve">。                   </w:t>
            </w:r>
          </w:p>
          <w:p>
            <w:pPr>
              <w:spacing w:line="360" w:lineRule="auto"/>
              <w:contextualSpacing/>
              <w:jc w:val="left"/>
              <w:rPr>
                <w:rFonts w:ascii="宋体" w:hAnsi="宋体" w:eastAsia="宋体" w:cs="仿宋_GB2312"/>
                <w:sz w:val="24"/>
                <w:szCs w:val="24"/>
                <w14:ligatures w14:val="none"/>
              </w:rPr>
            </w:pPr>
            <w:r>
              <w:rPr>
                <w:rFonts w:hint="eastAsia" w:ascii="宋体" w:hAnsi="宋体" w:eastAsia="宋体" w:cs="仿宋_GB2312"/>
                <w:sz w:val="24"/>
                <w:szCs w:val="24"/>
                <w14:ligatures w14:val="none"/>
              </w:rPr>
              <w:t>3.据实结算。</w:t>
            </w:r>
          </w:p>
          <w:p>
            <w:pPr>
              <w:spacing w:line="360" w:lineRule="auto"/>
              <w:rPr>
                <w:rFonts w:ascii="宋体" w:hAnsi="宋体" w:eastAsia="宋体" w:cs="仿宋_GB2312"/>
                <w:sz w:val="24"/>
                <w:szCs w:val="24"/>
                <w14:ligatures w14:val="none"/>
              </w:rPr>
            </w:pPr>
            <w:r>
              <w:rPr>
                <w:rFonts w:hint="eastAsia" w:ascii="宋体" w:hAnsi="宋体" w:eastAsia="宋体" w:cs="仿宋_GB2312"/>
                <w:sz w:val="24"/>
                <w:szCs w:val="24"/>
                <w14:ligatures w14:val="none"/>
              </w:rPr>
              <w:t>4.维保期间：</w:t>
            </w:r>
          </w:p>
          <w:p>
            <w:pPr>
              <w:spacing w:line="360" w:lineRule="auto"/>
              <w:rPr>
                <w:rFonts w:ascii="Times New Roman" w:hAnsi="Times New Roman" w:eastAsia="宋体" w:cs="Times New Roman"/>
                <w:sz w:val="24"/>
                <w:szCs w:val="32"/>
                <w14:ligatures w14:val="none"/>
              </w:rPr>
            </w:pPr>
            <w:r>
              <w:rPr>
                <w:rFonts w:hint="eastAsia" w:ascii="宋体" w:hAnsi="宋体" w:eastAsia="宋体" w:cs="仿宋_GB2312"/>
                <w:sz w:val="24"/>
                <w:szCs w:val="24"/>
                <w14:ligatures w14:val="none"/>
              </w:rPr>
              <w:t>（1）</w:t>
            </w:r>
            <w:r>
              <w:rPr>
                <w:rFonts w:hint="eastAsia" w:ascii="Times New Roman" w:hAnsi="Times New Roman" w:eastAsia="宋体" w:cs="Times New Roman"/>
                <w:sz w:val="24"/>
                <w:szCs w:val="32"/>
                <w14:ligatures w14:val="none"/>
              </w:rPr>
              <w:t>如高压柜、电容柜增加数量3台以内(含3台)， 维保总价不变，超过3台后，每增加1台，按合同单价计算，增加维保总价。</w:t>
            </w:r>
          </w:p>
          <w:p>
            <w:pPr>
              <w:widowControl/>
              <w:spacing w:line="360" w:lineRule="auto"/>
              <w:rPr>
                <w:rFonts w:ascii="宋体" w:hAnsi="宋体" w:eastAsia="宋体" w:cs="宋体"/>
                <w:color w:val="FF0000"/>
                <w:kern w:val="0"/>
                <w:sz w:val="24"/>
                <w:szCs w:val="24"/>
                <w14:ligatures w14:val="none"/>
              </w:rPr>
            </w:pPr>
            <w:r>
              <w:rPr>
                <w:rFonts w:hint="eastAsia" w:ascii="Times New Roman" w:hAnsi="Times New Roman" w:eastAsia="宋体" w:cs="Times New Roman"/>
                <w:sz w:val="24"/>
                <w:szCs w:val="32"/>
                <w14:ligatures w14:val="none"/>
              </w:rPr>
              <w:t>（2）如变压器、电缆、直流屏增加数量3台以内(含3台)，维保总价不变，超过3台后，每增加1台，按合同单价计算，增加维保总价。</w:t>
            </w:r>
          </w:p>
        </w:tc>
      </w:tr>
    </w:tbl>
    <w:p>
      <w:pPr>
        <w:widowControl/>
        <w:spacing w:line="360" w:lineRule="auto"/>
        <w:ind w:firstLine="482" w:firstLineChars="200"/>
        <w:rPr>
          <w:rFonts w:ascii="宋体" w:hAnsi="宋体" w:eastAsia="宋体" w:cs="宋体"/>
          <w:b/>
          <w:bCs/>
          <w:sz w:val="24"/>
          <w:szCs w:val="24"/>
          <w14:ligatures w14:val="none"/>
        </w:rPr>
      </w:pPr>
      <w:r>
        <w:rPr>
          <w:rFonts w:hint="eastAsia" w:ascii="宋体" w:hAnsi="宋体" w:eastAsia="宋体" w:cs="宋体"/>
          <w:b/>
          <w:bCs/>
          <w:sz w:val="24"/>
          <w:szCs w:val="24"/>
          <w14:ligatures w14:val="none"/>
        </w:rPr>
        <w:t>二、具体维保项目及内容</w:t>
      </w:r>
    </w:p>
    <w:p>
      <w:pPr>
        <w:widowControl/>
        <w:spacing w:line="360" w:lineRule="auto"/>
        <w:ind w:firstLine="480" w:firstLineChars="200"/>
        <w:rPr>
          <w:rFonts w:ascii="宋体" w:hAnsi="宋体" w:eastAsia="宋体" w:cs="宋体"/>
          <w:bCs/>
          <w:sz w:val="24"/>
          <w:szCs w:val="24"/>
          <w14:ligatures w14:val="none"/>
        </w:rPr>
      </w:pPr>
      <w:r>
        <w:rPr>
          <w:rFonts w:hint="eastAsia" w:ascii="宋体" w:hAnsi="宋体" w:eastAsia="宋体" w:cs="宋体"/>
          <w:bCs/>
          <w:sz w:val="24"/>
          <w:szCs w:val="24"/>
          <w14:ligatures w14:val="none"/>
        </w:rPr>
        <w:t>1.月维保：乙方每月的第一周进行一次例行检查、调试、维护、清洁等，确保用电运行稳定安全；并建立健全检查维修记录表上墙悬挂。</w:t>
      </w:r>
    </w:p>
    <w:p>
      <w:pPr>
        <w:widowControl/>
        <w:spacing w:line="360" w:lineRule="auto"/>
        <w:ind w:firstLine="480" w:firstLineChars="200"/>
        <w:rPr>
          <w:rFonts w:ascii="宋体" w:hAnsi="宋体" w:eastAsia="宋体" w:cs="宋体"/>
          <w:bCs/>
          <w:sz w:val="24"/>
          <w:szCs w:val="24"/>
          <w14:ligatures w14:val="none"/>
        </w:rPr>
      </w:pPr>
      <w:r>
        <w:rPr>
          <w:rFonts w:hint="eastAsia" w:ascii="宋体" w:hAnsi="宋体" w:eastAsia="宋体" w:cs="宋体"/>
          <w:bCs/>
          <w:sz w:val="24"/>
          <w:szCs w:val="24"/>
          <w14:ligatures w14:val="none"/>
        </w:rPr>
        <w:t>2.年维保：乙方每年进行一次预防性试验，并出具书面检测报告，对发现问题及时处理。</w:t>
      </w:r>
    </w:p>
    <w:tbl>
      <w:tblPr>
        <w:tblStyle w:val="7"/>
        <w:tblpPr w:leftFromText="180" w:rightFromText="180" w:vertAnchor="text" w:horzAnchor="margin" w:tblpXSpec="center"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665"/>
        <w:gridCol w:w="6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restart"/>
            <w:vAlign w:val="center"/>
          </w:tcPr>
          <w:p>
            <w:pPr>
              <w:tabs>
                <w:tab w:val="left" w:pos="259"/>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月</w:t>
            </w:r>
          </w:p>
          <w:p>
            <w:pPr>
              <w:tabs>
                <w:tab w:val="left" w:pos="259"/>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维</w:t>
            </w:r>
          </w:p>
          <w:p>
            <w:pPr>
              <w:tabs>
                <w:tab w:val="left" w:pos="259"/>
              </w:tabs>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保</w:t>
            </w:r>
          </w:p>
          <w:p>
            <w:pPr>
              <w:spacing w:line="360" w:lineRule="auto"/>
              <w:jc w:val="center"/>
              <w:rPr>
                <w:rFonts w:ascii="宋体" w:hAnsi="宋体" w:eastAsia="宋体" w:cs="宋体"/>
                <w:sz w:val="24"/>
                <w:szCs w:val="24"/>
                <w14:ligatures w14:val="none"/>
              </w:rPr>
            </w:pPr>
          </w:p>
          <w:p>
            <w:pPr>
              <w:spacing w:line="360" w:lineRule="auto"/>
              <w:jc w:val="center"/>
              <w:rPr>
                <w:rFonts w:ascii="宋体" w:hAnsi="宋体" w:eastAsia="宋体" w:cs="宋体"/>
                <w:sz w:val="24"/>
                <w:szCs w:val="24"/>
                <w14:ligatures w14:val="none"/>
              </w:rPr>
            </w:pPr>
          </w:p>
          <w:p>
            <w:pPr>
              <w:spacing w:line="360" w:lineRule="auto"/>
              <w:jc w:val="center"/>
              <w:rPr>
                <w:rFonts w:ascii="宋体" w:hAnsi="宋体" w:eastAsia="宋体" w:cs="宋体"/>
                <w:sz w:val="24"/>
                <w:szCs w:val="24"/>
                <w14:ligatures w14:val="none"/>
              </w:rPr>
            </w:pPr>
          </w:p>
          <w:p>
            <w:pPr>
              <w:spacing w:line="360" w:lineRule="auto"/>
              <w:jc w:val="center"/>
              <w:rPr>
                <w:rFonts w:ascii="宋体" w:hAnsi="宋体" w:eastAsia="宋体" w:cs="宋体"/>
                <w:sz w:val="24"/>
                <w:szCs w:val="24"/>
                <w14:ligatures w14:val="none"/>
              </w:rPr>
            </w:pPr>
          </w:p>
          <w:p>
            <w:pPr>
              <w:spacing w:line="360" w:lineRule="auto"/>
              <w:jc w:val="center"/>
              <w:rPr>
                <w:rFonts w:ascii="宋体" w:hAnsi="宋体" w:eastAsia="宋体" w:cs="宋体"/>
                <w:sz w:val="24"/>
                <w:szCs w:val="24"/>
                <w14:ligatures w14:val="none"/>
              </w:rPr>
            </w:pPr>
          </w:p>
          <w:p>
            <w:pPr>
              <w:spacing w:line="360" w:lineRule="auto"/>
              <w:jc w:val="center"/>
              <w:rPr>
                <w:rFonts w:ascii="宋体" w:hAnsi="宋体" w:eastAsia="宋体" w:cs="宋体"/>
                <w:sz w:val="24"/>
                <w:szCs w:val="24"/>
                <w14:ligatures w14:val="none"/>
              </w:rPr>
            </w:pPr>
          </w:p>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b/>
                <w:bCs/>
                <w:sz w:val="24"/>
                <w:szCs w:val="24"/>
                <w14:ligatures w14:val="none"/>
              </w:rPr>
            </w:pPr>
            <w:r>
              <w:rPr>
                <w:rFonts w:hint="eastAsia" w:ascii="宋体" w:hAnsi="宋体" w:eastAsia="宋体" w:cs="宋体"/>
                <w:b/>
                <w:bCs/>
                <w:sz w:val="24"/>
                <w:szCs w:val="24"/>
                <w14:ligatures w14:val="none"/>
              </w:rPr>
              <w:t>维护保养项目</w:t>
            </w:r>
          </w:p>
        </w:tc>
        <w:tc>
          <w:tcPr>
            <w:tcW w:w="6110" w:type="dxa"/>
            <w:vAlign w:val="center"/>
          </w:tcPr>
          <w:p>
            <w:pPr>
              <w:spacing w:line="360" w:lineRule="auto"/>
              <w:jc w:val="center"/>
              <w:rPr>
                <w:rFonts w:ascii="宋体" w:hAnsi="宋体" w:eastAsia="宋体" w:cs="宋体"/>
                <w:b/>
                <w:bCs/>
                <w:sz w:val="24"/>
                <w:szCs w:val="24"/>
                <w14:ligatures w14:val="none"/>
              </w:rPr>
            </w:pPr>
            <w:r>
              <w:rPr>
                <w:rFonts w:hint="eastAsia" w:ascii="宋体" w:hAnsi="宋体" w:eastAsia="宋体" w:cs="宋体"/>
                <w:b/>
                <w:bCs/>
                <w:sz w:val="24"/>
                <w:szCs w:val="24"/>
                <w14:ligatures w14:val="none"/>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配电屏卫生</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电气仪表</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触点完好，无过热现象，无焦点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控制回路</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压接良好，无过热现象，无焦点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电容无功补偿</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功率因数在0.95以上，电容接触器完好，电容补偿器三相平衡，无变形、发热、安装牢固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空开断路器</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外表清洁、触点完好、无噪音过热现象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绝缘工具</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正常有效、清洁卫生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通风、照明、应急设施</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无故障、保持通风照明需要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门窗及防小动物设施</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门窗开启灵活、无大于10mm缝隙，通风网无大于10mm小孔，无严重锈蚀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灭火器材</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正常有效，清洁完好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高压配电柜</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外观清洁、各标示牌、设备名牌齐全、牢固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电器仪表</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清洁、显示正常、固定牢靠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指示灯、按钮转换开关</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外表清洁、标志清晰、牢固可靠、转动灵活、压接良好、绝缘良好、使用正常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配电柜</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内计量、照明正常、无损坏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SF6负荷开关</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气体压力指标数据正常、符合设备出厂规范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变压器</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外观清洁、各标示牌、设备名牌齐全，牢固，控制、显示各参数设置正确、显示正常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2665"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UPS蓄电池</w:t>
            </w:r>
          </w:p>
        </w:tc>
        <w:tc>
          <w:tcPr>
            <w:tcW w:w="611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电压指示正常，无异常报警，使用正常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811" w:type="dxa"/>
            <w:vMerge w:val="continue"/>
            <w:vAlign w:val="center"/>
          </w:tcPr>
          <w:p>
            <w:pPr>
              <w:spacing w:line="360" w:lineRule="auto"/>
              <w:jc w:val="center"/>
              <w:rPr>
                <w:rFonts w:ascii="宋体" w:hAnsi="宋体" w:eastAsia="宋体" w:cs="宋体"/>
                <w:sz w:val="24"/>
                <w:szCs w:val="24"/>
                <w14:ligatures w14:val="none"/>
              </w:rPr>
            </w:pPr>
          </w:p>
        </w:tc>
        <w:tc>
          <w:tcPr>
            <w:tcW w:w="8775" w:type="dxa"/>
            <w:gridSpan w:val="2"/>
            <w:vAlign w:val="center"/>
          </w:tcPr>
          <w:p>
            <w:pPr>
              <w:spacing w:line="360" w:lineRule="auto"/>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注：1.维保须包含以上内容但不仅限以上内容。</w:t>
            </w:r>
          </w:p>
          <w:p>
            <w:pPr>
              <w:spacing w:line="360" w:lineRule="auto"/>
              <w:ind w:firstLine="482" w:firstLineChars="200"/>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2.每月须提供</w:t>
            </w:r>
            <w:r>
              <w:rPr>
                <w:rFonts w:hint="eastAsia" w:ascii="宋体" w:hAnsi="宋体" w:eastAsia="宋体" w:cs="Times New Roman"/>
                <w:b/>
                <w:sz w:val="24"/>
                <w:szCs w:val="24"/>
                <w14:ligatures w14:val="none"/>
              </w:rPr>
              <w:t>保养清单及机组整体设备运行情况报告。</w:t>
            </w:r>
          </w:p>
          <w:p>
            <w:pPr>
              <w:spacing w:line="360" w:lineRule="auto"/>
              <w:ind w:firstLine="482" w:firstLineChars="200"/>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3.需停电的</w:t>
            </w:r>
            <w:r>
              <w:rPr>
                <w:rFonts w:hint="eastAsia" w:ascii="宋体" w:hAnsi="宋体" w:eastAsia="宋体" w:cs="宋体"/>
                <w:b/>
                <w:sz w:val="24"/>
                <w:szCs w:val="24"/>
                <w14:ligatures w14:val="none"/>
              </w:rPr>
              <w:t>实验和除尘放在寒暑假，不影响正常供电。</w:t>
            </w:r>
          </w:p>
        </w:tc>
      </w:tr>
    </w:tbl>
    <w:p>
      <w:pPr>
        <w:spacing w:line="360" w:lineRule="auto"/>
        <w:rPr>
          <w:rFonts w:ascii="宋体" w:hAnsi="宋体" w:eastAsia="宋体" w:cs="宋体"/>
          <w:sz w:val="24"/>
          <w:szCs w:val="24"/>
          <w14:ligatures w14:val="none"/>
        </w:rPr>
      </w:pPr>
    </w:p>
    <w:tbl>
      <w:tblPr>
        <w:tblStyle w:val="7"/>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311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restart"/>
            <w:vAlign w:val="center"/>
          </w:tcPr>
          <w:p>
            <w:pPr>
              <w:spacing w:line="360" w:lineRule="auto"/>
              <w:jc w:val="center"/>
              <w:rPr>
                <w:rFonts w:ascii="宋体" w:hAnsi="宋体" w:eastAsia="宋体" w:cs="宋体"/>
                <w:sz w:val="24"/>
                <w:szCs w:val="24"/>
                <w14:ligatures w14:val="none"/>
              </w:rPr>
            </w:pPr>
          </w:p>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年</w:t>
            </w:r>
          </w:p>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度</w:t>
            </w:r>
          </w:p>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维</w:t>
            </w:r>
          </w:p>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保</w:t>
            </w:r>
          </w:p>
        </w:tc>
        <w:tc>
          <w:tcPr>
            <w:tcW w:w="3116" w:type="dxa"/>
            <w:vAlign w:val="center"/>
          </w:tcPr>
          <w:p>
            <w:pPr>
              <w:spacing w:line="360" w:lineRule="auto"/>
              <w:jc w:val="center"/>
              <w:rPr>
                <w:rFonts w:ascii="宋体" w:hAnsi="宋体" w:eastAsia="宋体" w:cs="宋体"/>
                <w:b/>
                <w:bCs/>
                <w:sz w:val="24"/>
                <w:szCs w:val="24"/>
                <w14:ligatures w14:val="none"/>
              </w:rPr>
            </w:pPr>
            <w:r>
              <w:rPr>
                <w:rFonts w:hint="eastAsia" w:ascii="宋体" w:hAnsi="宋体" w:eastAsia="宋体" w:cs="宋体"/>
                <w:b/>
                <w:bCs/>
                <w:sz w:val="24"/>
                <w:szCs w:val="24"/>
                <w14:ligatures w14:val="none"/>
              </w:rPr>
              <w:t>维护保养项目</w:t>
            </w:r>
          </w:p>
        </w:tc>
        <w:tc>
          <w:tcPr>
            <w:tcW w:w="5670" w:type="dxa"/>
            <w:vAlign w:val="center"/>
          </w:tcPr>
          <w:p>
            <w:pPr>
              <w:spacing w:line="360" w:lineRule="auto"/>
              <w:jc w:val="center"/>
              <w:rPr>
                <w:rFonts w:ascii="宋体" w:hAnsi="宋体" w:eastAsia="宋体" w:cs="宋体"/>
                <w:b/>
                <w:bCs/>
                <w:sz w:val="24"/>
                <w:szCs w:val="24"/>
                <w14:ligatures w14:val="none"/>
              </w:rPr>
            </w:pPr>
            <w:r>
              <w:rPr>
                <w:rFonts w:hint="eastAsia" w:ascii="宋体" w:hAnsi="宋体" w:eastAsia="宋体" w:cs="宋体"/>
                <w:b/>
                <w:bCs/>
                <w:sz w:val="24"/>
                <w:szCs w:val="24"/>
                <w14:ligatures w14:val="none"/>
              </w:rPr>
              <w:t>维保内容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低压控制回路</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各互感器正常、标号正确、绝缘无变色老化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电源接头</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端子绝缘正常、无变色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继电保护装置设置参数</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参数设置正确、无误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操作机构</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连锁装置灵活、操作正常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继电保护装置</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灵活、速动、可靠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高压组合开关</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操作机构灵活、触头正常、分合正常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变压器接线、各端子</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高压进线、中性点接线牢固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变压器电压调节器</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三相平衡、接线牢固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母线排、高压进线</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压接良好、色标清晰、绝缘良好、端子紧固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配电柜接地、接零</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接地接零良好、牢固可靠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绝缘</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擦尘、整体完好无损、阻值正常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变压器线圈绝缘</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测试各相阻值正常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高压电缆（含进线主电缆）</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3116" w:type="dxa"/>
            <w:vAlign w:val="center"/>
          </w:tcPr>
          <w:p>
            <w:pPr>
              <w:spacing w:line="360" w:lineRule="auto"/>
              <w:jc w:val="center"/>
              <w:rPr>
                <w:rFonts w:ascii="宋体" w:hAnsi="宋体" w:eastAsia="宋体" w:cs="宋体"/>
                <w:sz w:val="24"/>
                <w:szCs w:val="24"/>
                <w14:ligatures w14:val="none"/>
              </w:rPr>
            </w:pPr>
            <w:r>
              <w:rPr>
                <w:rFonts w:hint="eastAsia" w:ascii="宋体" w:hAnsi="宋体" w:eastAsia="宋体" w:cs="宋体"/>
                <w:sz w:val="24"/>
                <w:szCs w:val="24"/>
                <w14:ligatures w14:val="none"/>
              </w:rPr>
              <w:t>预防性试验</w:t>
            </w:r>
          </w:p>
        </w:tc>
        <w:tc>
          <w:tcPr>
            <w:tcW w:w="5670" w:type="dxa"/>
            <w:vAlign w:val="center"/>
          </w:tcPr>
          <w:p>
            <w:pPr>
              <w:spacing w:line="360" w:lineRule="auto"/>
              <w:jc w:val="left"/>
              <w:rPr>
                <w:rFonts w:ascii="宋体" w:hAnsi="宋体" w:eastAsia="宋体" w:cs="宋体"/>
                <w:sz w:val="24"/>
                <w:szCs w:val="24"/>
                <w14:ligatures w14:val="none"/>
              </w:rPr>
            </w:pPr>
            <w:r>
              <w:rPr>
                <w:rFonts w:hint="eastAsia" w:ascii="宋体" w:hAnsi="宋体" w:eastAsia="宋体" w:cs="宋体"/>
                <w:sz w:val="24"/>
                <w:szCs w:val="24"/>
                <w14:ligatures w14:val="none"/>
              </w:rPr>
              <w:t>所有设备检测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810" w:type="dxa"/>
            <w:vMerge w:val="continue"/>
            <w:vAlign w:val="center"/>
          </w:tcPr>
          <w:p>
            <w:pPr>
              <w:spacing w:line="360" w:lineRule="auto"/>
              <w:jc w:val="center"/>
              <w:rPr>
                <w:rFonts w:ascii="宋体" w:hAnsi="宋体" w:eastAsia="宋体" w:cs="宋体"/>
                <w:sz w:val="24"/>
                <w:szCs w:val="24"/>
                <w14:ligatures w14:val="none"/>
              </w:rPr>
            </w:pPr>
          </w:p>
        </w:tc>
        <w:tc>
          <w:tcPr>
            <w:tcW w:w="8786" w:type="dxa"/>
            <w:gridSpan w:val="2"/>
            <w:vAlign w:val="center"/>
          </w:tcPr>
          <w:p>
            <w:pPr>
              <w:spacing w:line="360" w:lineRule="auto"/>
              <w:ind w:firstLine="482" w:firstLineChars="200"/>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注：1.维保须包含以上内容但不仅限以上内容。</w:t>
            </w:r>
          </w:p>
          <w:p>
            <w:pPr>
              <w:spacing w:line="360" w:lineRule="auto"/>
              <w:ind w:firstLine="964" w:firstLineChars="400"/>
              <w:jc w:val="left"/>
              <w:rPr>
                <w:rFonts w:ascii="宋体" w:hAnsi="宋体" w:eastAsia="宋体" w:cs="宋体"/>
                <w:b/>
                <w:bCs/>
                <w:sz w:val="24"/>
                <w:szCs w:val="24"/>
                <w14:ligatures w14:val="none"/>
              </w:rPr>
            </w:pPr>
            <w:r>
              <w:rPr>
                <w:rFonts w:hint="eastAsia" w:ascii="宋体" w:hAnsi="宋体" w:eastAsia="宋体" w:cs="宋体"/>
                <w:b/>
                <w:bCs/>
                <w:sz w:val="24"/>
                <w:szCs w:val="24"/>
                <w14:ligatures w14:val="none"/>
              </w:rPr>
              <w:t>2.每月须提供</w:t>
            </w:r>
            <w:r>
              <w:rPr>
                <w:rFonts w:hint="eastAsia" w:ascii="Times New Roman" w:hAnsi="Times New Roman" w:eastAsia="宋体" w:cs="Times New Roman"/>
                <w:b/>
                <w:sz w:val="24"/>
                <w:szCs w:val="24"/>
                <w14:ligatures w14:val="none"/>
              </w:rPr>
              <w:t>保养清单及机组整体设备运行情况报告。</w:t>
            </w:r>
          </w:p>
        </w:tc>
      </w:tr>
    </w:tbl>
    <w:p>
      <w:pPr>
        <w:widowControl/>
        <w:spacing w:line="360" w:lineRule="auto"/>
        <w:ind w:firstLine="240" w:firstLineChars="100"/>
        <w:rPr>
          <w:rFonts w:ascii="宋体" w:hAnsi="宋体" w:eastAsia="宋体" w:cs="宋体"/>
          <w:sz w:val="24"/>
          <w:szCs w:val="24"/>
          <w14:ligatures w14:val="none"/>
        </w:rPr>
      </w:pPr>
      <w:r>
        <w:rPr>
          <w:rFonts w:hint="eastAsia" w:ascii="宋体" w:hAnsi="宋体" w:eastAsia="宋体" w:cs="宋体"/>
          <w:sz w:val="24"/>
          <w:szCs w:val="24"/>
          <w14:ligatures w14:val="none"/>
        </w:rPr>
        <w:t>3.应急抢修，</w:t>
      </w:r>
      <w:r>
        <w:rPr>
          <w:rFonts w:hint="eastAsia" w:ascii="宋体" w:hAnsi="宋体" w:eastAsia="宋体" w:cs="宋体"/>
          <w:bCs/>
          <w:sz w:val="24"/>
          <w:szCs w:val="24"/>
          <w14:ligatures w14:val="none"/>
        </w:rPr>
        <w:t>接到甲方故障后，一般情况</w:t>
      </w:r>
      <w:r>
        <w:rPr>
          <w:rFonts w:hint="eastAsia" w:ascii="Times New Roman" w:hAnsi="Times New Roman" w:eastAsia="宋体" w:cs="Times New Roman"/>
          <w:bCs/>
          <w:sz w:val="24"/>
          <w:szCs w:val="24"/>
          <w14:ligatures w14:val="none"/>
        </w:rPr>
        <w:t>（一般情况指甲方维修电工遇到操作配电柜等设备出现故障时给予指导）</w:t>
      </w:r>
      <w:r>
        <w:rPr>
          <w:rFonts w:hint="eastAsia" w:ascii="宋体" w:hAnsi="宋体" w:eastAsia="宋体" w:cs="宋体"/>
          <w:bCs/>
          <w:sz w:val="24"/>
          <w:szCs w:val="24"/>
          <w14:ligatures w14:val="none"/>
        </w:rPr>
        <w:t>下须在2个小时内派技术人员赶到现场，特殊情况</w:t>
      </w:r>
      <w:r>
        <w:rPr>
          <w:rFonts w:hint="eastAsia" w:ascii="Times New Roman" w:hAnsi="Times New Roman" w:eastAsia="宋体" w:cs="Times New Roman"/>
          <w:bCs/>
          <w:sz w:val="24"/>
          <w:szCs w:val="24"/>
          <w14:ligatures w14:val="none"/>
        </w:rPr>
        <w:t>（特殊情况指甲方突发性停电和设备损坏和发生用电故障）须</w:t>
      </w:r>
      <w:r>
        <w:rPr>
          <w:rFonts w:hint="eastAsia" w:ascii="宋体" w:hAnsi="宋体" w:eastAsia="宋体" w:cs="宋体"/>
          <w:bCs/>
          <w:sz w:val="24"/>
          <w:szCs w:val="24"/>
          <w14:ligatures w14:val="none"/>
        </w:rPr>
        <w:t>派2名以上技术人员</w:t>
      </w:r>
      <w:r>
        <w:rPr>
          <w:rFonts w:hint="eastAsia" w:ascii="Times New Roman" w:hAnsi="Times New Roman" w:eastAsia="宋体" w:cs="Times New Roman"/>
          <w:bCs/>
          <w:sz w:val="24"/>
          <w:szCs w:val="24"/>
          <w14:ligatures w14:val="none"/>
        </w:rPr>
        <w:t>在</w:t>
      </w:r>
      <w:r>
        <w:rPr>
          <w:rFonts w:hint="eastAsia" w:ascii="宋体" w:hAnsi="宋体" w:eastAsia="宋体" w:cs="宋体"/>
          <w:bCs/>
          <w:sz w:val="24"/>
          <w:szCs w:val="24"/>
          <w14:ligatures w14:val="none"/>
        </w:rPr>
        <w:t>1个小时赶到现场。同时，乙方应具备与供电部门有着良好的沟通和协调能力，如是供电部门原因应及时沟通协调送电，确保甲方的正常教育教学和学生生活。应急抢修结束后，乙方须提供应急维修报告。</w:t>
      </w:r>
    </w:p>
    <w:p>
      <w:pPr>
        <w:widowControl/>
        <w:spacing w:line="360" w:lineRule="auto"/>
        <w:ind w:firstLine="240" w:firstLineChars="100"/>
        <w:rPr>
          <w:rFonts w:ascii="宋体" w:hAnsi="宋体" w:eastAsia="宋体" w:cs="宋体"/>
          <w:sz w:val="24"/>
          <w:szCs w:val="24"/>
          <w14:ligatures w14:val="none"/>
        </w:rPr>
      </w:pPr>
      <w:r>
        <w:rPr>
          <w:rFonts w:hint="eastAsia" w:ascii="宋体" w:hAnsi="宋体" w:eastAsia="宋体" w:cs="宋体"/>
          <w:sz w:val="24"/>
          <w:szCs w:val="24"/>
          <w14:ligatures w14:val="none"/>
        </w:rPr>
        <w:t>4.建立档案管理系统，</w:t>
      </w:r>
      <w:r>
        <w:rPr>
          <w:rFonts w:hint="eastAsia" w:ascii="宋体" w:hAnsi="宋体" w:eastAsia="宋体" w:cs="Times New Roman"/>
          <w:sz w:val="24"/>
          <w:szCs w:val="24"/>
          <w14:ligatures w14:val="none"/>
        </w:rPr>
        <w:t>乙方应建立一套档案，集中管理。每一次的例检、维护保养和抢修的详细数据都记录在案，根据这些数据，对变电站及配电房、开闭所的运行情况、设备状况等作出整体评估，有针对性的制定出次年的维护保养方案，每年的12月15日前上报甲方备案。</w:t>
      </w:r>
      <w:r>
        <w:rPr>
          <w:rFonts w:hint="eastAsia" w:ascii="Times New Roman" w:hAnsi="Times New Roman" w:eastAsia="宋体" w:cs="Times New Roman"/>
          <w:sz w:val="24"/>
          <w:szCs w:val="24"/>
          <w14:ligatures w14:val="none"/>
        </w:rPr>
        <w:t>甲方并有权随时检查乙方档案材料，乙方承诺无条件按甲方要求提供上述材料。</w:t>
      </w:r>
      <w:r>
        <w:rPr>
          <w:rFonts w:hint="eastAsia" w:ascii="宋体" w:hAnsi="宋体" w:eastAsia="宋体" w:cs="Times New Roman"/>
          <w:sz w:val="24"/>
          <w:szCs w:val="24"/>
          <w14:ligatures w14:val="none"/>
        </w:rPr>
        <w:t xml:space="preserve"> </w:t>
      </w:r>
    </w:p>
    <w:p>
      <w:pPr>
        <w:spacing w:line="360" w:lineRule="auto"/>
        <w:ind w:firstLine="240" w:firstLineChars="1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5.乙方须拥有国家能源局颁发的“承装</w:t>
      </w:r>
      <w:r>
        <w:rPr>
          <w:rFonts w:ascii="宋体" w:hAnsi="宋体" w:eastAsia="宋体" w:cs="Times New Roman"/>
          <w:sz w:val="24"/>
          <w:szCs w:val="24"/>
          <w14:ligatures w14:val="none"/>
        </w:rPr>
        <w:t>(修、试)电力设施许可证</w:t>
      </w:r>
      <w:r>
        <w:rPr>
          <w:rFonts w:hint="eastAsia" w:ascii="宋体" w:hAnsi="宋体" w:eastAsia="宋体" w:cs="Times New Roman"/>
          <w:sz w:val="24"/>
          <w:szCs w:val="24"/>
          <w14:ligatures w14:val="none"/>
        </w:rPr>
        <w:t>”的企业，维护技术人员必须持证上岗。在故障排查、检修、维护工程中，必须按照国家及电力行业规范要求进行。乙方应本着“质量第一，用户至上”的服务的理念，以满足用户的需求为基础的前提，及时为用户解决电力方面出现的各种问题。</w:t>
      </w:r>
    </w:p>
    <w:p>
      <w:pPr>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6.乙方在合同签订同时对持证代维技术人员进行定期培训并将代维人员高压操作证和相关资格证书复印件送甲方备案，要求代维技术人员了解并熟悉安徽新华学院内所有配电房及高低压出线电缆路径图图纸并到现场进行核对，达到熟悉开闭所内相关设备。同时，须与设备厂家、开闭所值班人员建立良好关系联系。乙方代维人员人身安全甲方不承担任何责任，均由乙方负责赔偿解决。</w:t>
      </w:r>
    </w:p>
    <w:p>
      <w:pPr>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7.乙方在接到甲方故障电话后，一般情况下应在2小时内派技术人员到现场，查明原因并组织力量排障；特殊情况下，</w:t>
      </w:r>
      <w:r>
        <w:rPr>
          <w:rFonts w:hint="eastAsia" w:ascii="Times New Roman" w:hAnsi="Times New Roman" w:eastAsia="宋体" w:cs="Times New Roman"/>
          <w:bCs/>
          <w:sz w:val="24"/>
          <w:szCs w:val="24"/>
          <w14:ligatures w14:val="none"/>
        </w:rPr>
        <w:t>须</w:t>
      </w:r>
      <w:r>
        <w:rPr>
          <w:rFonts w:hint="eastAsia" w:ascii="宋体" w:hAnsi="宋体" w:eastAsia="宋体" w:cs="宋体"/>
          <w:bCs/>
          <w:sz w:val="24"/>
          <w:szCs w:val="24"/>
          <w14:ligatures w14:val="none"/>
        </w:rPr>
        <w:t>派2名以上技术人员</w:t>
      </w:r>
      <w:r>
        <w:rPr>
          <w:rFonts w:hint="eastAsia" w:ascii="Times New Roman" w:hAnsi="Times New Roman" w:eastAsia="宋体" w:cs="Times New Roman"/>
          <w:bCs/>
          <w:sz w:val="24"/>
          <w:szCs w:val="24"/>
          <w14:ligatures w14:val="none"/>
        </w:rPr>
        <w:t>在</w:t>
      </w:r>
      <w:r>
        <w:rPr>
          <w:rFonts w:hint="eastAsia" w:ascii="宋体" w:hAnsi="宋体" w:eastAsia="宋体" w:cs="Times New Roman"/>
          <w:sz w:val="24"/>
          <w:szCs w:val="24"/>
          <w14:ligatures w14:val="none"/>
        </w:rPr>
        <w:t>1小时内到现场，如果发生技术人员不能按时到场的，甲方有权利要求乙方承担违约责任，乙方每次违约承担1000元的违约金（违约金从合同总价款中直接扣除），如违约金不足以弥补甲方损失，还应承担甲方的全部损失（包括但不限于甲方人员和第三方的损害赔偿等）。</w:t>
      </w:r>
    </w:p>
    <w:p>
      <w:pPr>
        <w:spacing w:line="360" w:lineRule="auto"/>
        <w:ind w:firstLine="480" w:firstLineChars="20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8.乙方应对有可能影响变配电安全运行的设备、元件、器材应在维保中及时提出，若因乙方维保不全面、抢修不及时等原因造成的停电、设备损坏, 乙方负责赔偿由此带来的全部损失。</w:t>
      </w:r>
    </w:p>
    <w:p>
      <w:pPr>
        <w:spacing w:line="360" w:lineRule="auto"/>
        <w:ind w:firstLine="480"/>
        <w:rPr>
          <w:rFonts w:ascii="宋体" w:hAnsi="宋体" w:eastAsia="宋体" w:cs="Times New Roman"/>
          <w:b/>
          <w:sz w:val="24"/>
          <w:szCs w:val="24"/>
          <w14:ligatures w14:val="none"/>
        </w:rPr>
      </w:pPr>
      <w:r>
        <w:rPr>
          <w:rFonts w:hint="eastAsia" w:ascii="宋体" w:hAnsi="宋体" w:eastAsia="宋体" w:cs="Times New Roman"/>
          <w:b/>
          <w:sz w:val="24"/>
          <w:szCs w:val="24"/>
          <w14:ligatures w14:val="none"/>
        </w:rPr>
        <w:t>三、其他</w:t>
      </w:r>
    </w:p>
    <w:p>
      <w:pPr>
        <w:spacing w:line="360" w:lineRule="auto"/>
        <w:ind w:firstLine="480"/>
        <w:rPr>
          <w:rFonts w:ascii="宋体" w:hAnsi="宋体" w:eastAsia="宋体" w:cs="Times New Roman"/>
          <w:sz w:val="24"/>
          <w:szCs w:val="24"/>
          <w14:ligatures w14:val="none"/>
        </w:rPr>
      </w:pPr>
      <w:r>
        <w:rPr>
          <w:rFonts w:hint="eastAsia" w:ascii="宋体" w:hAnsi="宋体" w:eastAsia="宋体" w:cs="Times New Roman"/>
          <w:sz w:val="24"/>
          <w:szCs w:val="24"/>
          <w14:ligatures w14:val="none"/>
        </w:rPr>
        <w:t>乙方工作人员在提供维修保养等服务时，乙方应对其加强安全教育，监督其执行安全施工规范，采取必要的安全措施。维保过程中，发生一切人身、财产等损害均由乙方承担全部责任并履行赔偿义务 如因此给甲方造成的任何损失（包括但不限于甲方人身、财产损害、甲方对第三方赔偿等），均由乙方负责赔偿。</w:t>
      </w:r>
    </w:p>
    <w:p>
      <w:pPr>
        <w:spacing w:line="360" w:lineRule="auto"/>
        <w:ind w:firstLine="480"/>
        <w:rPr>
          <w:rFonts w:ascii="宋体" w:hAnsi="宋体" w:eastAsia="宋体" w:cs="Times New Roman"/>
          <w:sz w:val="24"/>
          <w:szCs w:val="24"/>
          <w14:ligatures w14:val="none"/>
        </w:rPr>
      </w:pPr>
    </w:p>
    <w:p>
      <w:pPr>
        <w:spacing w:line="360" w:lineRule="auto"/>
        <w:ind w:firstLine="480"/>
        <w:rPr>
          <w:rFonts w:ascii="宋体" w:hAnsi="宋体" w:eastAsia="宋体" w:cs="Times New Roman"/>
          <w:sz w:val="24"/>
          <w:szCs w:val="24"/>
          <w14:ligatures w14:val="none"/>
        </w:rPr>
      </w:pPr>
    </w:p>
    <w:p>
      <w:pPr>
        <w:spacing w:line="360" w:lineRule="auto"/>
        <w:ind w:firstLine="480"/>
        <w:rPr>
          <w:rFonts w:ascii="宋体" w:hAnsi="宋体" w:eastAsia="宋体" w:cs="Times New Roman"/>
          <w:sz w:val="24"/>
          <w:szCs w:val="24"/>
          <w14:ligatures w14:val="none"/>
        </w:rPr>
      </w:pPr>
    </w:p>
    <w:p>
      <w:pPr>
        <w:spacing w:line="360" w:lineRule="auto"/>
        <w:ind w:firstLine="480"/>
        <w:rPr>
          <w:rFonts w:ascii="宋体" w:hAnsi="宋体" w:eastAsia="宋体" w:cs="Times New Roman"/>
          <w:sz w:val="24"/>
          <w:szCs w:val="24"/>
          <w14:ligatures w14:val="none"/>
        </w:rPr>
      </w:pPr>
    </w:p>
    <w:p>
      <w:pPr>
        <w:spacing w:line="360" w:lineRule="auto"/>
        <w:ind w:firstLine="480"/>
        <w:rPr>
          <w:rFonts w:ascii="宋体" w:hAnsi="宋体" w:eastAsia="宋体" w:cs="Times New Roman"/>
          <w:sz w:val="24"/>
          <w:szCs w:val="24"/>
          <w14:ligatures w14:val="none"/>
        </w:rPr>
      </w:pPr>
    </w:p>
    <w:p>
      <w:pPr>
        <w:spacing w:line="360" w:lineRule="auto"/>
        <w:ind w:firstLine="480"/>
        <w:rPr>
          <w:rFonts w:ascii="宋体" w:hAnsi="宋体" w:eastAsia="宋体" w:cs="Times New Roman"/>
          <w:sz w:val="24"/>
          <w:szCs w:val="24"/>
          <w14:ligatures w14:val="none"/>
        </w:rPr>
      </w:pPr>
      <w:bookmarkStart w:id="0" w:name="_GoBack"/>
      <w:bookmarkEnd w:id="0"/>
    </w:p>
    <w:p>
      <w:pPr>
        <w:spacing w:line="360" w:lineRule="auto"/>
        <w:ind w:firstLine="480"/>
        <w:rPr>
          <w:rFonts w:ascii="宋体" w:hAnsi="宋体" w:eastAsia="宋体" w:cs="Times New Roman"/>
          <w:sz w:val="24"/>
          <w:szCs w:val="24"/>
          <w14:ligatures w14:val="none"/>
        </w:rPr>
      </w:pPr>
    </w:p>
    <w:p>
      <w:pPr>
        <w:spacing w:line="360" w:lineRule="auto"/>
        <w:ind w:firstLine="480"/>
        <w:rPr>
          <w:rFonts w:ascii="宋体" w:hAnsi="宋体" w:eastAsia="宋体" w:cs="Times New Roman"/>
          <w:sz w:val="24"/>
          <w:szCs w:val="24"/>
          <w14:ligatures w14:val="none"/>
        </w:rPr>
      </w:pPr>
    </w:p>
    <w:p>
      <w:pPr>
        <w:spacing w:line="360" w:lineRule="auto"/>
        <w:ind w:firstLine="480"/>
        <w:rPr>
          <w:rFonts w:ascii="宋体" w:hAnsi="宋体" w:eastAsia="宋体" w:cs="Times New Roman"/>
          <w:sz w:val="24"/>
          <w:szCs w:val="24"/>
          <w14:ligatures w14:val="none"/>
        </w:rPr>
      </w:pPr>
    </w:p>
    <w:p>
      <w:pPr>
        <w:spacing w:line="360" w:lineRule="auto"/>
        <w:ind w:firstLine="480"/>
        <w:rPr>
          <w:rFonts w:ascii="宋体" w:hAnsi="宋体" w:eastAsia="宋体" w:cs="Times New Roman"/>
          <w:sz w:val="24"/>
          <w:szCs w:val="24"/>
          <w14:ligatures w14:val="none"/>
        </w:rPr>
      </w:pPr>
    </w:p>
    <w:p>
      <w:pPr>
        <w:spacing w:line="360" w:lineRule="auto"/>
        <w:rPr>
          <w:rFonts w:ascii="宋体" w:hAnsi="宋体" w:eastAsia="宋体" w:cs="Times New Roman"/>
          <w:b/>
          <w:sz w:val="24"/>
          <w:szCs w:val="24"/>
        </w:rPr>
      </w:pPr>
    </w:p>
    <w:p>
      <w:pPr>
        <w:widowControl/>
        <w:shd w:val="clear" w:color="auto" w:fill="FFFFFF"/>
        <w:spacing w:line="360" w:lineRule="auto"/>
        <w:ind w:right="720"/>
        <w:jc w:val="left"/>
        <w:rPr>
          <w:rFonts w:ascii="宋体" w:hAnsi="宋体" w:eastAsia="宋体" w:cs="宋体"/>
          <w:color w:val="000000"/>
          <w:kern w:val="0"/>
          <w:sz w:val="24"/>
          <w:szCs w:val="24"/>
          <w14:ligatures w14:val="none"/>
        </w:rPr>
      </w:pPr>
    </w:p>
    <w:sectPr>
      <w:pgSz w:w="11906" w:h="16838"/>
      <w:pgMar w:top="1418" w:right="1077" w:bottom="1418"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4NTM0YTAxMDBkOTQ5OGMwZWU0NTg4NGNmZGJhYmEifQ=="/>
  </w:docVars>
  <w:rsids>
    <w:rsidRoot w:val="0021423F"/>
    <w:rsid w:val="00010CD9"/>
    <w:rsid w:val="000563E8"/>
    <w:rsid w:val="00113376"/>
    <w:rsid w:val="00115C6C"/>
    <w:rsid w:val="00125FF4"/>
    <w:rsid w:val="00152632"/>
    <w:rsid w:val="0018466D"/>
    <w:rsid w:val="0021423F"/>
    <w:rsid w:val="00223300"/>
    <w:rsid w:val="00226A39"/>
    <w:rsid w:val="00226B04"/>
    <w:rsid w:val="00270870"/>
    <w:rsid w:val="002D4646"/>
    <w:rsid w:val="00307524"/>
    <w:rsid w:val="00352442"/>
    <w:rsid w:val="00362D9E"/>
    <w:rsid w:val="0038029A"/>
    <w:rsid w:val="00390BA0"/>
    <w:rsid w:val="003C52CD"/>
    <w:rsid w:val="00413561"/>
    <w:rsid w:val="00413DFE"/>
    <w:rsid w:val="004377C8"/>
    <w:rsid w:val="00455264"/>
    <w:rsid w:val="00474913"/>
    <w:rsid w:val="004B486E"/>
    <w:rsid w:val="004B75A7"/>
    <w:rsid w:val="00530629"/>
    <w:rsid w:val="005C2EA2"/>
    <w:rsid w:val="005D272F"/>
    <w:rsid w:val="005D372E"/>
    <w:rsid w:val="0063388F"/>
    <w:rsid w:val="00690D17"/>
    <w:rsid w:val="006C0E3A"/>
    <w:rsid w:val="006D41A0"/>
    <w:rsid w:val="00745301"/>
    <w:rsid w:val="00767235"/>
    <w:rsid w:val="007F432A"/>
    <w:rsid w:val="00821AE3"/>
    <w:rsid w:val="00822075"/>
    <w:rsid w:val="00830166"/>
    <w:rsid w:val="00830670"/>
    <w:rsid w:val="0084447D"/>
    <w:rsid w:val="008E227A"/>
    <w:rsid w:val="008F0F11"/>
    <w:rsid w:val="00917C44"/>
    <w:rsid w:val="00922481"/>
    <w:rsid w:val="00984FE7"/>
    <w:rsid w:val="009B3838"/>
    <w:rsid w:val="00A0688F"/>
    <w:rsid w:val="00A34039"/>
    <w:rsid w:val="00A43645"/>
    <w:rsid w:val="00A52CD7"/>
    <w:rsid w:val="00A66812"/>
    <w:rsid w:val="00A905EA"/>
    <w:rsid w:val="00BB05EC"/>
    <w:rsid w:val="00CB4F7A"/>
    <w:rsid w:val="00CC2612"/>
    <w:rsid w:val="00D137BD"/>
    <w:rsid w:val="00D614F1"/>
    <w:rsid w:val="00DC72CF"/>
    <w:rsid w:val="00E1590A"/>
    <w:rsid w:val="00E238EC"/>
    <w:rsid w:val="00E2462D"/>
    <w:rsid w:val="00E45D00"/>
    <w:rsid w:val="00EA65BC"/>
    <w:rsid w:val="00EB3632"/>
    <w:rsid w:val="00EE05EF"/>
    <w:rsid w:val="00EE4C16"/>
    <w:rsid w:val="00FD43BF"/>
    <w:rsid w:val="00FD73B5"/>
    <w:rsid w:val="09092322"/>
    <w:rsid w:val="1514712D"/>
    <w:rsid w:val="1D2A7E1D"/>
    <w:rsid w:val="26672C45"/>
    <w:rsid w:val="30F35053"/>
    <w:rsid w:val="4D313B22"/>
    <w:rsid w:val="5DE9235D"/>
    <w:rsid w:val="62C374C2"/>
    <w:rsid w:val="6D06617B"/>
    <w:rsid w:val="701F2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5"/>
    <w:semiHidden/>
    <w:unhideWhenUsed/>
    <w:qFormat/>
    <w:uiPriority w:val="99"/>
    <w:pPr>
      <w:ind w:left="100" w:leftChars="2500"/>
    </w:p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14:ligatures w14:val="none"/>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标题 1 Char"/>
    <w:basedOn w:val="9"/>
    <w:link w:val="2"/>
    <w:uiPriority w:val="9"/>
    <w:rPr>
      <w:rFonts w:ascii="宋体" w:hAnsi="宋体" w:eastAsia="宋体" w:cs="宋体"/>
      <w:b/>
      <w:bCs/>
      <w:kern w:val="36"/>
      <w:sz w:val="48"/>
      <w:szCs w:val="48"/>
      <w14:ligatures w14:val="none"/>
    </w:rPr>
  </w:style>
  <w:style w:type="paragraph" w:customStyle="1" w:styleId="14">
    <w:name w:val="titbar"/>
    <w:basedOn w:val="1"/>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5">
    <w:name w:val="日期 Char"/>
    <w:basedOn w:val="9"/>
    <w:link w:val="3"/>
    <w:semiHidden/>
    <w:qFormat/>
    <w:uiPriority w:val="99"/>
    <w:rPr>
      <w:rFonts w:asciiTheme="minorHAnsi" w:hAnsiTheme="minorHAnsi" w:eastAsiaTheme="minorEastAsia" w:cstheme="minorBidi"/>
      <w:kern w:val="2"/>
      <w:sz w:val="21"/>
      <w:szCs w:val="22"/>
      <w14:ligatures w14:val="standardContextual"/>
    </w:rPr>
  </w:style>
  <w:style w:type="paragraph" w:styleId="16">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4895</Words>
  <Characters>5156</Characters>
  <Lines>41</Lines>
  <Paragraphs>11</Paragraphs>
  <TotalTime>0</TotalTime>
  <ScaleCrop>false</ScaleCrop>
  <LinksUpToDate>false</LinksUpToDate>
  <CharactersWithSpaces>5477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2023-07-04T07:50:00Z</dcterms:created>
  <dc:creator>周 茂松</dc:creator>
  <cp:lastModifiedBy>周芹</cp:lastModifiedBy>
  <dcterms:modified xsi:type="dcterms:W3CDTF">2023-07-14T01:10:44Z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6F1F9F895D0A4490A8BF36E8396E309D_12</vt:lpwstr>
  </property>
</Properties>
</file>