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B5FA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</w:p>
    <w:p w14:paraId="3C6C32BA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安徽医科大学临床医学院实验室整改项目报价表</w:t>
      </w:r>
    </w:p>
    <w:tbl>
      <w:tblPr>
        <w:tblStyle w:val="9"/>
        <w:tblpPr w:leftFromText="180" w:rightFromText="180" w:vertAnchor="text" w:horzAnchor="page" w:tblpX="1024" w:tblpY="458"/>
        <w:tblOverlap w:val="never"/>
        <w:tblW w:w="100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69"/>
        <w:gridCol w:w="1005"/>
        <w:gridCol w:w="1005"/>
        <w:gridCol w:w="1493"/>
        <w:gridCol w:w="1410"/>
        <w:gridCol w:w="1549"/>
        <w:gridCol w:w="1549"/>
      </w:tblGrid>
      <w:tr w14:paraId="1148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E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3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D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6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5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3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5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9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46C7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7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6D37B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防爆摄像头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0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D95C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E6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D2C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94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78F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024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9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154A1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氧气浓度探测器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9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D48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C1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A99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31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8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C92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D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EAB2D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防爆可燃气体检测仪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0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639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06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DB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085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6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4F2A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1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62D7C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防爆温湿度传感器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6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378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37E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CB6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A8C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6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FC92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9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36FAD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防爆VOC传感器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5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14D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63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DA5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CAC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26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66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4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C7EDA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控制一体机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E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A0A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DC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B49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30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90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DF69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D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C8A9D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防爆型双鉴探测器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7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F78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5B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57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A29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DF3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C3C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A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E7260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防爆插销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F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352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5DE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EB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04D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F77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AF8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2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9558E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接地母线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8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5FC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米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FD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EA5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31F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1EA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AA5B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D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32A28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悬挂式超细粉自动灭火器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A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3F6C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98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122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372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6B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75A0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6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5510D"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防爆电线电缆及线管等配件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C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4EC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742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1DA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EF4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25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4D5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6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1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B8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总计（大写）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                        </w:t>
            </w: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¥</w:t>
            </w: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：          ）</w:t>
            </w:r>
          </w:p>
        </w:tc>
      </w:tr>
      <w:tr w14:paraId="27A4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F2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备注：报价均为含税、含运、安装和调试等价格。</w:t>
            </w:r>
          </w:p>
        </w:tc>
      </w:tr>
    </w:tbl>
    <w:p w14:paraId="7705E3D8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1706BBE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65EF745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69C5A8C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32BE823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00F523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60FE25D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00162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default" w:ascii="仿宋" w:hAnsi="仿宋" w:eastAsia="仿宋" w:cs="仿宋"/>
          <w:b/>
          <w:bCs w:val="0"/>
          <w:snapToGrid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3CB0B2F7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01F71C68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安徽医科大学临床医学院实验室整改项目参数对比表</w:t>
      </w:r>
    </w:p>
    <w:p w14:paraId="642F822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tbl>
      <w:tblPr>
        <w:tblStyle w:val="9"/>
        <w:tblW w:w="99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320"/>
        <w:gridCol w:w="3630"/>
        <w:gridCol w:w="2595"/>
        <w:gridCol w:w="1545"/>
      </w:tblGrid>
      <w:tr w14:paraId="79C7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A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2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3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询价参数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A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报价参数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4A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参数偏离值</w:t>
            </w:r>
          </w:p>
        </w:tc>
      </w:tr>
      <w:tr w14:paraId="27C6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C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123F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防爆摄像头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70A972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可实现储存区全方位无死角对射，POE供电,防爆级别：EXdⅡBT4Gb。有效像素 ≥400 万；支持3D数字降噪,支持 120dB 超宽动态；红外补光,照射距离满足30米。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配套枪架。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包含安装，监控图像接入保卫处监控室实时查看。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C3D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ACF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29A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B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58A0C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氧气浓度探测器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F82528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安装方式：壁挂式；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工作电压交流：220V,50HZ；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输入信号4-20mA/M-BUS2总线；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输出信号4-20mA标准信号(选配)；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产品功耗≤10W；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报警设置：低限报警，高限报警。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7.需连接至保卫处监控室实时监控报警情况。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E88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6BA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1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A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DA841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防爆可燃气体检测仪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1FE3AE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1.采用PID（光离子化）检测器，检测库内可燃气体挥发物浓度情况，通过内置无线传输单元进行实时检测数据传输。当可燃气体浓度超限触发报警。报警方式包括手机移动端推送实时数据报警等。</w:t>
            </w:r>
          </w:p>
          <w:p w14:paraId="2D008848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2.防爆级别：EXdⅡBT4Gb，采样方式：扩散式；检测原理：催化燃烧；测量精密度:±2%rH，±0.3K。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770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687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B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9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CA715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防爆温湿度传感器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EA6345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1.检测库内温湿度情况，当温湿度超限触发报警。报警方式包括手机移动端推送实时数据报警等。</w:t>
            </w:r>
          </w:p>
          <w:p w14:paraId="49B40C2B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2.量测范围：湿度:0-100% rH 温度:-20-80℃ 测量精密度:±2%rH ±0.3K；测量煤介：空气, 气体；供应电源：12-20vdc；保护等级：IP64；工作范围：无侵蚀性的空气，气体。防爆等级≥EXdⅡBT4Gb。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196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993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D5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5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EDB30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防爆VOC传感器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636B27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1.采用PID（光离子化）检测器，检测库内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有毒有害气体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浓度情况，通过内置无线传输单元进行实时检测数据传输。当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有毒有害气体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浓度超限触发报警。报警方式包括手机移动端推送实时数据报警等。</w:t>
            </w:r>
          </w:p>
          <w:p w14:paraId="5FE820DA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防爆级别：EXdⅡBT4Gb 。采用高度灵敏，探测有毒有害气体、适用范围广泛的PID（光离子化）检测器为核心部件，可实现区域完整的监测、监控、预警体系，全面提升安全水平及突发事故的应急处理能力。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E40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7B2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EB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9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30071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控制一体机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6427F9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柜体钢板：厚度≥1.0mm冷轧钢板。钢板通过折边焊接构造整体成型，柜体表面无焊缝。采用环氧树脂静电喷涂，烘热固化处理，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产品依照GB/T 10125-2021、GB/T 6461-2002、GB/T21866-2008进行防腐抗菌试验检测，柜体经中性盐雾连续喷雾240小时后，涂（镀）层本身耐腐蚀等级≥8级,外观评级为A级，抗菌耐久性能测试，检测结果为合格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须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具有CMA或CNAS认证标志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第三方检测机构出具的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整柜盐雾试验、抗细菌耐久性能的检测报告复印件、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检测结果满足参数要求）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配有不小于15寸触摸显示屏一体机，用户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通过触摸屏一体机集成中转间内温湿度、VOC浓度、可燃探测报警信息等核心数据，显示各项环境数据，能够进行参数设置和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室内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状态查询报警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可远程推送管理员手机小程序。</w:t>
            </w:r>
          </w:p>
          <w:p w14:paraId="695F5D1D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3、也可对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试剂初次存入、领用、归还、库存查询和台账查询等流程的申请和实施；配有量程0.1G～10KG、称重传感器对储存试剂进行初始化、出库、入库称重，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与核心平台系统配合实现对称重数据进行自动登记并形成管理台帐；配有不低于200万像素人脸识别摄像头，用作系统人脸识别；选配便携式蓝牙碳带打印机。 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1BF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79E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43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0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75860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防爆型双鉴探测器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A3AFFE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防爆级别：EXdⅡBT4Gb。外壳釆用碳钢无缝焊接成型，表面高速抛光后粉末静电喷塑；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内置红外对射，配置专用强透性防爆玻璃。</w:t>
            </w:r>
          </w:p>
          <w:p w14:paraId="50E12547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配置报警声光指示灯:防爆级别：≥EXdⅡBT4Gb，壳体采用铝合金压铸成型，表面高压静电喷塑，钢化玻璃面板，高亮度LED光源。当仓库内的温湿度、可燃气体、有毒气体浓度超限，将立即触发声光报警。当仓库遭受入侵报警，立即触发声光报警。需连接至保卫处监控室实时监控入侵报警情况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9AA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433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B5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E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D4A39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防爆插销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CB23A7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外壳采用铝合金压制而成，里面电器元件均采处防爆处理，并且密封所有能产生电火花的电气元件，使它与外界的危险气体隔绝。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483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118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E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7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74CA4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接地母线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E5AA45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1、扁钢离地≥300mm，离墙≥30mm，沿内墙四周安装；</w:t>
            </w:r>
          </w:p>
          <w:p w14:paraId="011D1266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2、扁钢尺寸≥40mm宽，厚度≥4.0mm；</w:t>
            </w:r>
          </w:p>
          <w:p w14:paraId="329D18EF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3、试剂间进行全方位的消静电处理，试剂间内部电气设备、保护套管、安全柜等金属设备设施完整接地。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4E6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917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B4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C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0E009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悬挂式超细粉自动灭火器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67BBDC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配有悬挂式充装容量≥4公斤的超细粉自动灭火装置。环境温度超过 68 度时自动喷洒超细粉进行灭火。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4DB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928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88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4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2D61B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防爆电线电缆及线管等配件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F6ED0C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包含所有安装以及线缆、防爆连接件。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E3E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BB0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0AA4C1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p w14:paraId="3A5499C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2E9481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191491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7464A57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0A922F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27179C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2EC7E82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56C318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5C1957F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99BA9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default" w:ascii="仿宋" w:hAnsi="仿宋" w:eastAsia="仿宋" w:cs="仿宋"/>
          <w:b/>
          <w:bCs w:val="0"/>
          <w:snapToGrid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 w14:paraId="036B5AD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 w14:paraId="5604AD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甲方：</w:t>
      </w:r>
    </w:p>
    <w:p w14:paraId="537F71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 w14:paraId="6AA902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4709A8B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 w14:paraId="483D1D9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22F871B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 w14:paraId="30EC853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 w14:paraId="1DB439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 w14:paraId="25FEFC5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 w14:paraId="11B17EA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 w14:paraId="5BB1328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 w14:paraId="51F034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 w14:paraId="30F48BE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（三）不接受乙方或相关单位的礼金、贿赂、账外回扣等任何形式的私下经济利益。</w:t>
      </w:r>
    </w:p>
    <w:p w14:paraId="565FB3F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 w14:paraId="5AF2CC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31ABFD7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 w14:paraId="5E7009F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 w14:paraId="7BB3C5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 w14:paraId="44C0FC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 w14:paraId="1A771F9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 w14:paraId="78F6A46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 w14:paraId="7C4DA6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在账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69EDC0A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 w14:paraId="1E8C554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 w14:paraId="1B179A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33E72C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750BCFC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 w14:paraId="31AAC9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5D675DB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 w14:paraId="7B559B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6C03C6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6AC3F1F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1733FB3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 w14:paraId="4E53ACC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 w14:paraId="41BA632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 w14:paraId="50E359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 w14:paraId="306BFD9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 w14:paraId="215D069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 w14:paraId="2187DFE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 w14:paraId="3A3688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</w:t>
      </w:r>
    </w:p>
    <w:p w14:paraId="2F535C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5E0E77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0CD395C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70B625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1BA544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27A4B9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71B15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61FFB54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99B0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43B9A0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654DD1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4B53EAA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FDE8D7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33D421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6BEAA6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38D4CA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E30D16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3C00FB4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2FDC65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51ABEA1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附件4</w:t>
      </w:r>
    </w:p>
    <w:p w14:paraId="6F6602E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 w14:paraId="5A531D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 w14:paraId="1C79B5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 w14:paraId="737CA53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安徽新华集团投资有限公司为实现债权而支付的各项费用（包括但不限于诉讼费/仲裁费、财产保全费、财产保全服务费、律师费、差旅费、公证费、执行费、公告费等费用）。</w:t>
      </w:r>
    </w:p>
    <w:p w14:paraId="709491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 w14:paraId="7F4F8A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 w14:paraId="4CCFEF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 w14:paraId="015B55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 w14:paraId="35FC23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 w14:paraId="784F221D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 w14:paraId="45CD17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   </w:t>
      </w:r>
    </w:p>
    <w:p w14:paraId="7169008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D329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9BC6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39BC6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04315"/>
    <w:rsid w:val="75B90A32"/>
    <w:rsid w:val="7E00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3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4">
    <w:name w:val="Body Text Indent"/>
    <w:basedOn w:val="1"/>
    <w:next w:val="5"/>
    <w:qFormat/>
    <w:uiPriority w:val="0"/>
    <w:pPr>
      <w:widowControl/>
      <w:ind w:firstLine="586"/>
      <w:jc w:val="left"/>
    </w:pPr>
    <w:rPr>
      <w:kern w:val="0"/>
      <w:sz w:val="28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8">
    <w:name w:val="Body Text First Indent 2"/>
    <w:basedOn w:val="4"/>
    <w:qFormat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21"/>
      <w:szCs w:val="24"/>
    </w:rPr>
  </w:style>
  <w:style w:type="character" w:customStyle="1" w:styleId="11">
    <w:name w:val="font3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2">
    <w:name w:val="font2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4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14">
    <w:name w:val="msolist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2025-12-08T06:23:00Z</dcterms:created>
  <dc:creator>心若向阳</dc:creator>
  <cp:lastModifiedBy>心若向阳</cp:lastModifiedBy>
  <dcterms:modified xsi:type="dcterms:W3CDTF">2025-12-08T06:25:31Z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7DD0851DC9FC467F9244FC4AA399FF75_11</vt:lpwstr>
  </property>
  <property fmtid="{D5CDD505-2E9C-101B-9397-08002B2CF9AE}" pid="4" name="KSOTemplateDocerSaveRecord">
    <vt:lpwstr>eyJoZGlkIjoiNWRkZWEwYjc3ZjU0NTk3MTZjMGQwMGQwN2RkMDczMzMiLCJ1c2VySWQiOiI0NDcxMDY1MDAifQ==</vt:lpwstr>
  </property>
</Properties>
</file>