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附件：</w:t>
      </w:r>
      <w:bookmarkStart w:id="0" w:name="_GoBack"/>
      <w:bookmarkEnd w:id="0"/>
    </w:p>
    <w:p>
      <w:pPr>
        <w:rPr>
          <w:rFonts w:ascii="新宋体" w:hAnsi="新宋体" w:eastAsia="新宋体"/>
          <w:sz w:val="24"/>
          <w:szCs w:val="24"/>
        </w:rPr>
      </w:pPr>
    </w:p>
    <w:p>
      <w:pPr>
        <w:jc w:val="center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报价表</w:t>
      </w:r>
    </w:p>
    <w:p>
      <w:pPr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21#楼</w:t>
      </w:r>
    </w:p>
    <w:tbl>
      <w:tblPr>
        <w:tblStyle w:val="2"/>
        <w:tblW w:w="8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78"/>
        <w:gridCol w:w="675"/>
        <w:gridCol w:w="1320"/>
        <w:gridCol w:w="1035"/>
        <w:gridCol w:w="1260"/>
        <w:gridCol w:w="1050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AP-6-01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六类模块(网络)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AP-6-03-180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单口信息面板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AP-M-04-1A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8口交换机（含不锈钢固定罩）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PVC线槽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39mm*19mm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PVC线槽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24mm*14mm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明盒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86*86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六类非屏蔽水晶头 (RJ45)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六类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24口六类非屏蔽配线架（含模块）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AP-6-04-24S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1U理线架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AP-J-01-LG-12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网络跳线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根/3米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48口接入交换机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S5130S-52P-EI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机柜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42U标准机柜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桥架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200*100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弱电信息箱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300*200*100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胶布、扎带、标签、螺丝等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   工程安装及辅材</w:t>
            </w:r>
          </w:p>
        </w:tc>
        <w:tc>
          <w:tcPr>
            <w:tcW w:w="42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工程总价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4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新宋体" w:hAnsi="新宋体" w:eastAsia="新宋体"/>
          <w:sz w:val="24"/>
          <w:szCs w:val="24"/>
        </w:rPr>
      </w:pPr>
    </w:p>
    <w:p>
      <w:pPr>
        <w:rPr>
          <w:rFonts w:ascii="新宋体" w:hAnsi="新宋体" w:eastAsia="新宋体"/>
          <w:sz w:val="24"/>
          <w:szCs w:val="24"/>
        </w:rPr>
      </w:pPr>
    </w:p>
    <w:p>
      <w:pPr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22#楼</w:t>
      </w:r>
    </w:p>
    <w:tbl>
      <w:tblPr>
        <w:tblStyle w:val="2"/>
        <w:tblW w:w="91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234"/>
        <w:gridCol w:w="1135"/>
        <w:gridCol w:w="2033"/>
        <w:gridCol w:w="823"/>
        <w:gridCol w:w="750"/>
        <w:gridCol w:w="750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AP-6-01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箱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六类模块(网络)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AP-6-03-180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单口信息面板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AP-M-04-1A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8口交换机（含不锈钢固定罩）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PVC线槽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39mm*19mm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PVC线槽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24mm*14mm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86*86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六类非屏蔽水晶头 (RJ45)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六类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24口六类非屏蔽配线架（含模块）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AP-6-04-24S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1U理线架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AP-J-01-LG-12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网络跳线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根/3米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48口接入交换机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S5130S-52P-EI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机柜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42U标准机柜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桥架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200*100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弱电信息箱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300*200*100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胶布、扎带、标签、螺丝等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   工程安装及辅材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工程总价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4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新宋体" w:hAnsi="新宋体" w:eastAsia="新宋体"/>
          <w:sz w:val="24"/>
          <w:szCs w:val="24"/>
        </w:rPr>
      </w:pPr>
    </w:p>
    <w:p>
      <w:pPr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3#楼</w:t>
      </w:r>
    </w:p>
    <w:tbl>
      <w:tblPr>
        <w:tblStyle w:val="2"/>
        <w:tblW w:w="98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299"/>
        <w:gridCol w:w="2085"/>
        <w:gridCol w:w="1185"/>
        <w:gridCol w:w="1305"/>
        <w:gridCol w:w="930"/>
        <w:gridCol w:w="825"/>
        <w:gridCol w:w="84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参数要求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AP-6-01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箱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六类模块(网络)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AP-6-03-180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单口信息面板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AP-M-04-1A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8口交换机（含不锈钢固定罩）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1、10/100/1000Base-T电口≥8个；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2、要求所投交换机满足交换容量≥16Gbps，且转发性能≥12Mpps 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3、MAC地址表大小≥4K；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4、产品应具有CCC认证和工信部进网许可证；                                                     5、考虑设备兼容性、项目实施、交付及售后服务，采用与汇聚交换机同一品牌。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PVC线槽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39mm*19mm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PVC线槽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24mm*14mm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明盒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86*86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六类非屏蔽水晶头 (RJ45)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六类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24口六类非屏蔽配线架（含模块）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AP-6-04-24S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1U理线架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AP-J-01-LG-12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网络跳线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根/3米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48口接入交换机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1、固化千兆电接口≥48个，千兆光接口≥4个；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2、交换容量≥192Gbps，包转发率≥42Mpps；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3、MAC地址表大小≥8K；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4、为保证设备稳定运行，接口防浪涌能力≥6kv；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5、支持VLAN划分，最大支持4094个VLAN；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6、工作温度：-0-50°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7、支持云管理，远程管理和维护设备,支持极速智能配置；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8、符合国家低碳环保等政策要求，支持IEEE 802.3az标准的EEE节能技术；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9、支持SNMP、CLI(Telnet/Console)、Syslog、NTP、TFTP、Web；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10、考虑设备兼容性、项目实施、交付及售后服务，采用与汇聚交换机同一品牌。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楼层汇聚交换机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1、固化千兆电接口≥16个，千兆光接口≥8个，万兆光接口≥4个；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2、交换容量≥256Gbps，包转发率≥132Mpps；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3、MAC地址表大小≥8K；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4、为保证设备稳定运行，接口防浪涌能力≥6kv；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5、支持VLAN划分，最大支持4094个VLAN；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6、工作温度：-0-50°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7、支持云管理，远程管理和维护设备,支持极速智能配置；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8、符合国家低碳环保等政策要求，支持IEEE 802.3az标准的EEE节能技术；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9、支持SNMP、CLI(Telnet/Console)、Syslog、NTP、TFTP、Web；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10、考虑设备兼容性、项目实施、交付及售后服务，采用与接入交换机同一品牌。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万兆单模光模块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万兆LC接口模块（1310nm），10km，适用于SFP+接口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机柜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震林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42U标准机柜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光缆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桥架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200*100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弱电信息箱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300*200*100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工程安装及辅材</w:t>
            </w:r>
          </w:p>
        </w:tc>
        <w:tc>
          <w:tcPr>
            <w:tcW w:w="5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工程总价</w:t>
            </w:r>
          </w:p>
        </w:tc>
        <w:tc>
          <w:tcPr>
            <w:tcW w:w="5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6495D"/>
    <w:rsid w:val="0786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2021-01-07T05:09:00Z</dcterms:created>
  <dc:creator>心若向阳</dc:creator>
  <cp:lastModifiedBy>心若向阳</cp:lastModifiedBy>
  <dcterms:modified xsi:type="dcterms:W3CDTF">2021-01-07T05:10:10Z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