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CD257">
      <w:pPr>
        <w:pStyle w:val="2"/>
        <w:rPr>
          <w:rFonts w:hint="default"/>
          <w:lang w:val="en-US" w:eastAsia="zh-CN"/>
        </w:rPr>
      </w:pPr>
      <w:r>
        <w:rPr>
          <w:rFonts w:hint="eastAsia" w:ascii="宋体" w:hAnsi="宋体" w:eastAsia="宋体" w:cs="宋体"/>
          <w:b/>
          <w:bCs/>
          <w:kern w:val="2"/>
          <w:sz w:val="24"/>
          <w:szCs w:val="20"/>
          <w:lang w:val="en-US" w:eastAsia="zh-CN" w:bidi="ar-SA"/>
        </w:rPr>
        <w:t>附件一</w:t>
      </w:r>
      <w:bookmarkStart w:id="0" w:name="_GoBack"/>
      <w:bookmarkEnd w:id="0"/>
    </w:p>
    <w:p w14:paraId="588650A6">
      <w:pPr>
        <w:pStyle w:val="2"/>
        <w:jc w:val="center"/>
        <w:rPr>
          <w:rFonts w:hint="eastAsia" w:ascii="宋体" w:cs="Times New Roman"/>
          <w:lang w:val="en-US" w:eastAsia="zh-CN"/>
        </w:rPr>
      </w:pPr>
      <w:r>
        <w:rPr>
          <w:rFonts w:hint="eastAsia" w:ascii="宋体" w:cs="Times New Roman"/>
          <w:lang w:val="en-US" w:eastAsia="zh-CN"/>
        </w:rPr>
        <w:t>安徽医科大学临床医学院LED大屏采购清单</w:t>
      </w:r>
    </w:p>
    <w:tbl>
      <w:tblPr>
        <w:tblStyle w:val="8"/>
        <w:tblW w:w="164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0"/>
        <w:gridCol w:w="1554"/>
        <w:gridCol w:w="10185"/>
        <w:gridCol w:w="900"/>
        <w:gridCol w:w="930"/>
        <w:gridCol w:w="1922"/>
      </w:tblGrid>
      <w:tr w14:paraId="3097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48B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29A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E31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57C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8F4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B31F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参考品牌</w:t>
            </w:r>
          </w:p>
        </w:tc>
      </w:tr>
      <w:tr w14:paraId="7678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53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E9B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显示尺寸：长4.48米*高2.24米         边框尺寸：长4.58米*高2.34米</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B97E7">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利亚德、艾比森、联建、上海三思</w:t>
            </w:r>
          </w:p>
        </w:tc>
      </w:tr>
      <w:tr w14:paraId="03F2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5"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05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D4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LED 显示屏 </w:t>
            </w:r>
          </w:p>
        </w:tc>
        <w:tc>
          <w:tcPr>
            <w:tcW w:w="10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6F6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1.像素构成：表贴三合一；像素点间距：≤2.0m，刷新频率为：≥3840hz；屏体净尺寸4.48M*2.24M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2.刷新率：≥3840hz,像素失控率：≤0.00001.出厂时为0，无连续失控点；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3.灰度等级：≥256级，18bit；亮度均匀性≥99%；发光点中心距偏差≤1%；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4.LED显示屏能效率值：3.5cd/W，符合GB 21520-2023，能效一级，单模组纯功耗低于35W；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5.带有智能（黑屏）节电功能，开启智能节电功能比没有开启节能80%以上，休眠模式带电黑屏功耗18W/㎡；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6.安全特性符合GB 4943.1-2022标准基本要求；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7.符合IP6X防护等级，阻燃等级达到(V-0级）；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8.符合光生物安全要求，蓝光危害符合RG0；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9.使用寿命≥120000小时；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10.色温为6500K时，100%、75%、50%、25%四档电平白场调节色温误差≤200K；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11.屏体正面为黑色哑光处理，反光率1%；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12.LED显示屏具有数据传输安全技术，防信号远程窃密技术，防电力远程泄密技术；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13.多层PCB板结构设计，同时采用镀金接插件；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鬼影消除、第一扫偏暗消除、低灰偏色补偿、低灰均匀性、诋灰横条纹消除、慢速开启、十字架消除、去除坏点、毛毛虫消除、余辉消除、亮度缓慢变亮功能，支持摩尔纹抑制功能，减轻摩尔纹视觉主观效果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15.模组电源接口采用4P接插头，免工具维护，同时有防呆设计，预防接错电源线短路而导致的烧毁模组行为；采用集成HUB接收卡控制，支持通讯状态检测；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16.支持单点亮度，色度，灰度校正；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17.模块采用高分子复合材料，高强度塑胶套件，产品轻巧安装精度高，搞笑承载不变形；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18.电源、接收卡支持带电维护，支持热拔插；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19.采用黑色防眩光设计，防止眩光影响可提升视觉观感；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20.模组后盖设计，美化外观，防护性增强；</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9C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F4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59F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利亚德、艾比森、联建、上海三思</w:t>
            </w:r>
          </w:p>
        </w:tc>
      </w:tr>
      <w:tr w14:paraId="42B6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F6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8D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p>
        </w:tc>
        <w:tc>
          <w:tcPr>
            <w:tcW w:w="10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366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1、输入电压范围176～264VAC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2、输入电流230VAC/2.5A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3、直流电压 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4、额定电流 40A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 200W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6、安全规范：符合GB4943/UL1012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7、过载保护：110～150% rated 打嗝模式，消除过载后可自动恢复正常工作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8短路保护：输出端短路后电源保护，消除短路后可自动恢复输出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9振动：频率范围10~500Hz，加速度2G，每个扫频循环10min，沿X,Y,Z轴个进行6个扫频循环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10冲击：加速度20G，持续时间11mS,沿Y,Y,Z轴各进行3次冲击.</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6B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36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CDB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利亚德、艾比森、联建、上海三思</w:t>
            </w:r>
          </w:p>
        </w:tc>
      </w:tr>
      <w:tr w14:paraId="485B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37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B1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接收卡</w:t>
            </w:r>
          </w:p>
        </w:tc>
        <w:tc>
          <w:tcPr>
            <w:tcW w:w="10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5DA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1)单卡支持16组和32组数据输出模式；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2)单卡自带16个HUB75  16P接口；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3)单卡带载像素128*1024/256*512。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4)支持逐点亮色度校正、多批次、亮暗线调节和显示屏效果调节等功能，与3D控制器搭配支持3D效果；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5)支持接收卡预存画面和保留最后一帧设置；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6)支持灯板flash管理；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7)支持5pin液晶模块；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8)支持千兆网，可通过网线直接连接PC端进行调试和显示；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9)支持接收卡参数及程序包回读；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10)接收卡具有与灯板一致的电源接口；</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78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BF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52C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诺瓦、卡莱特</w:t>
            </w:r>
          </w:p>
        </w:tc>
      </w:tr>
      <w:tr w14:paraId="68A7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80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0F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视频处理器（含发送卡）</w:t>
            </w:r>
          </w:p>
        </w:tc>
        <w:tc>
          <w:tcPr>
            <w:tcW w:w="10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30B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六画面；带载390万、横向最大10240、纵向最大8192；支持2xHDMI 1.3、1xHDMI 2.0（IN&amp;LOOP）、1x3G-SDI（IN&amp;LOOP，选配）、1×USB 3.0（播放U盘内的图片或视频）；支持灵活走线；支持6个2K图层；支持光电转换器模式和视频控制器模式切换 ；支持微信小程序、Unico、NovaLCT、前面板按钮、可视化平台控制；支持全链路备份</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17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E6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67EF2">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诺瓦、卡莱特</w:t>
            </w:r>
          </w:p>
        </w:tc>
      </w:tr>
      <w:tr w14:paraId="62D3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46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CD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配电柜</w:t>
            </w:r>
          </w:p>
        </w:tc>
        <w:tc>
          <w:tcPr>
            <w:tcW w:w="10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ABB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专用配电柜，可一键关闭电源；超载、短路、漏电保护、过流自动报警，带漏电保护功能，电流、电压显示，手动/自动/停止切换开头，过载过压保护器。</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0F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57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EA8E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r>
      <w:tr w14:paraId="3548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B6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C7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线材</w:t>
            </w:r>
          </w:p>
        </w:tc>
        <w:tc>
          <w:tcPr>
            <w:tcW w:w="10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425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屏体所用排线，网线，三芯线，磁铁</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47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86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661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r>
      <w:tr w14:paraId="41B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B4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4F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结构+安装</w:t>
            </w:r>
          </w:p>
        </w:tc>
        <w:tc>
          <w:tcPr>
            <w:tcW w:w="10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DEB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安装、运输、调试、培训、售后；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1、屏体现场符合安装调试、产品交付，安全防范标准、技术和工艺标准；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2、现场规范移交对接训和基本操作培训；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3、含货物运输现场车辆运输费用；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4、包边尺寸：50mm宽；</w:t>
            </w:r>
          </w:p>
          <w:p w14:paraId="6F714E68">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4"/>
                <w:szCs w:val="24"/>
                <w:u w:val="none"/>
                <w:lang w:val="en-US" w:eastAsia="zh-CN" w:bidi="ar"/>
              </w:rPr>
              <w:t>5、包边材质为不锈钢。</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FE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E6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B9B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r>
      <w:tr w14:paraId="267C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28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46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w:t>
            </w:r>
          </w:p>
        </w:tc>
        <w:tc>
          <w:tcPr>
            <w:tcW w:w="10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5F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1台功放，2支音柱</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7C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C2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1D3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派思达、迪士普、湖山</w:t>
            </w:r>
          </w:p>
        </w:tc>
      </w:tr>
      <w:tr w14:paraId="65E3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39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3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安装辅材</w:t>
            </w:r>
          </w:p>
        </w:tc>
        <w:tc>
          <w:tcPr>
            <w:tcW w:w="10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E25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含所需电源线、网线、高清线、音频线、设备机柜、扎带、标签纸、备板备件等</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B1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BD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453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r>
    </w:tbl>
    <w:p w14:paraId="52E17CD7">
      <w:pPr>
        <w:pStyle w:val="2"/>
        <w:rPr>
          <w:rFonts w:hint="default"/>
          <w:lang w:val="en-US" w:eastAsia="zh-CN"/>
        </w:rPr>
        <w:sectPr>
          <w:pgSz w:w="16838" w:h="11906" w:orient="landscape"/>
          <w:pgMar w:top="686" w:right="1440" w:bottom="686" w:left="1440" w:header="851" w:footer="992" w:gutter="0"/>
          <w:cols w:space="720" w:num="1"/>
          <w:docGrid w:type="lines" w:linePitch="312" w:charSpace="0"/>
        </w:sectPr>
      </w:pPr>
    </w:p>
    <w:p w14:paraId="4AB4B6C7">
      <w:pPr>
        <w:pStyle w:val="7"/>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附件二</w:t>
      </w:r>
    </w:p>
    <w:p w14:paraId="1FCD646A">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14:paraId="49E51012">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14:paraId="14C8E6B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公司与安徽医科大学临床医学院就安徽医科大学临床医学院LED大屏项目合作并签订《安徽医科大学临床医学院LED大屏采购合同》（下称主合同）事宜，为确保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公司全面履行其在主合同中的各项责任与义务，保证人自愿为其向安徽医科大学临床医学院提供不可撤销的连带保证责任担保，并向安徽医科大学临床医学院郑重承诺：</w:t>
      </w:r>
    </w:p>
    <w:p w14:paraId="669674F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14:paraId="4AF12E45">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14:paraId="33C8FD2A">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14:paraId="73883CB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14:paraId="5F5898D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w:t>
      </w:r>
    </w:p>
    <w:p w14:paraId="313F692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14:paraId="38D33F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14:paraId="05F0CFD8">
      <w:pPr>
        <w:rPr>
          <w:rFonts w:hint="eastAsia"/>
          <w:lang w:val="en-US" w:eastAsia="zh-CN"/>
        </w:rPr>
      </w:pPr>
    </w:p>
    <w:p w14:paraId="3BC14AA0">
      <w:pPr>
        <w:pStyle w:val="2"/>
        <w:rPr>
          <w:rFonts w:hint="eastAsia"/>
          <w:lang w:val="en-US" w:eastAsia="zh-CN"/>
        </w:rPr>
      </w:pPr>
    </w:p>
    <w:p w14:paraId="4A1DD01C">
      <w:pPr>
        <w:rPr>
          <w:rFonts w:hint="eastAsia"/>
          <w:lang w:val="en-US" w:eastAsia="zh-CN"/>
        </w:rPr>
      </w:pPr>
    </w:p>
    <w:p w14:paraId="75A7D2A6">
      <w:pPr>
        <w:rPr>
          <w:rFonts w:hint="eastAsia"/>
          <w:lang w:val="en-US" w:eastAsia="zh-CN"/>
        </w:rPr>
      </w:pPr>
    </w:p>
    <w:p w14:paraId="017B1FF8">
      <w:pPr>
        <w:rPr>
          <w:rFonts w:hint="eastAsia"/>
          <w:b/>
          <w:bCs/>
          <w:sz w:val="24"/>
          <w:szCs w:val="32"/>
          <w:lang w:val="en-US" w:eastAsia="zh-CN"/>
        </w:rPr>
      </w:pPr>
    </w:p>
    <w:p w14:paraId="5E8E1C4B">
      <w:pPr>
        <w:rPr>
          <w:rFonts w:hint="eastAsia"/>
          <w:b/>
          <w:bCs/>
          <w:sz w:val="24"/>
          <w:szCs w:val="32"/>
          <w:lang w:val="en-US" w:eastAsia="zh-CN"/>
        </w:rPr>
      </w:pPr>
    </w:p>
    <w:p w14:paraId="60E4EA0D">
      <w:pPr>
        <w:rPr>
          <w:rFonts w:hint="eastAsia"/>
          <w:b/>
          <w:bCs/>
          <w:sz w:val="24"/>
          <w:szCs w:val="32"/>
          <w:lang w:val="en-US" w:eastAsia="zh-CN"/>
        </w:rPr>
      </w:pPr>
      <w:r>
        <w:rPr>
          <w:rFonts w:hint="eastAsia"/>
          <w:b/>
          <w:bCs/>
          <w:sz w:val="24"/>
          <w:szCs w:val="32"/>
          <w:lang w:val="en-US" w:eastAsia="zh-CN"/>
        </w:rPr>
        <w:t>附件三</w:t>
      </w:r>
    </w:p>
    <w:p w14:paraId="01B6E7E7">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14:paraId="10653CB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安徽医科大学临床医学院</w:t>
      </w:r>
    </w:p>
    <w:p w14:paraId="22D8CCB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14:paraId="452405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0EF1767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14:paraId="6BE3A7D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w:t>
      </w:r>
      <w:r>
        <w:rPr>
          <w:rFonts w:hint="eastAsia" w:ascii="宋体" w:hAnsi="宋体" w:eastAsia="宋体" w:cs="宋体"/>
          <w:color w:val="000000"/>
          <w:kern w:val="0"/>
          <w:sz w:val="24"/>
          <w:szCs w:val="24"/>
          <w:shd w:val="clear" w:color="auto" w:fill="FFFFFF"/>
          <w:lang w:eastAsia="zh-CN"/>
        </w:rPr>
        <w:t>询价报价</w:t>
      </w:r>
      <w:r>
        <w:rPr>
          <w:rFonts w:hint="eastAsia" w:ascii="宋体" w:hAnsi="宋体" w:eastAsia="宋体" w:cs="宋体"/>
          <w:color w:val="000000"/>
          <w:kern w:val="0"/>
          <w:sz w:val="24"/>
          <w:szCs w:val="24"/>
          <w:shd w:val="clear" w:color="auto" w:fill="FFFFFF"/>
        </w:rPr>
        <w:t>、工程建设、施工安装、物资采购和市场活动等有关法律、法规和相关政策，以及廉政建设的各项规定。</w:t>
      </w:r>
    </w:p>
    <w:p w14:paraId="206111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14:paraId="6A58AC9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14:paraId="4B1E895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14:paraId="2ADFC1D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14:paraId="4C0DA2B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14:paraId="0804040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14:paraId="47480C8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14:paraId="2321431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14:paraId="5264A83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14:paraId="7F6A541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656BAB4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14:paraId="51CFD20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14:paraId="2257192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14:paraId="0AE45F41">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14:paraId="22899983">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14:paraId="69D3366F">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14:paraId="6B58E206">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14:paraId="5F28A2C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14:paraId="07D0DC0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14:paraId="7D75212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14:paraId="535191F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14:paraId="46D7C94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14:paraId="53A31D2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14:paraId="7524551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14:paraId="7D20A17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0278B3B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401FF9E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75BE5DD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14:paraId="6D558F4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14:paraId="5A68582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14:paraId="3017F3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14:paraId="496A494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14:paraId="005E31A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14:paraId="51F75ED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14:paraId="0F933E9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14:paraId="6C076BE0">
      <w:pPr>
        <w:pStyle w:val="2"/>
        <w:rPr>
          <w:rFonts w:hint="eastAsia" w:ascii="仿宋_GB2312" w:hAnsi="仿宋_GB2312" w:eastAsia="仿宋_GB2312" w:cs="仿宋_GB2312"/>
          <w:color w:val="000000"/>
          <w:kern w:val="0"/>
          <w:sz w:val="28"/>
          <w:szCs w:val="28"/>
          <w:shd w:val="clear" w:color="auto" w:fill="FFFFFF"/>
        </w:rPr>
      </w:pPr>
    </w:p>
    <w:p w14:paraId="231C9FAA">
      <w:pPr>
        <w:rPr>
          <w:rFonts w:hint="eastAsia" w:ascii="仿宋_GB2312" w:hAnsi="仿宋_GB2312" w:eastAsia="仿宋_GB2312" w:cs="仿宋_GB2312"/>
          <w:color w:val="000000"/>
          <w:kern w:val="0"/>
          <w:sz w:val="28"/>
          <w:szCs w:val="28"/>
          <w:shd w:val="clear" w:color="auto" w:fill="FFFFFF"/>
        </w:rPr>
      </w:pPr>
    </w:p>
    <w:p w14:paraId="47D049E6">
      <w:pPr>
        <w:pStyle w:val="2"/>
        <w:rPr>
          <w:rFonts w:hint="eastAsia" w:ascii="仿宋_GB2312" w:hAnsi="仿宋_GB2312" w:eastAsia="仿宋_GB2312" w:cs="仿宋_GB2312"/>
          <w:color w:val="000000"/>
          <w:kern w:val="0"/>
          <w:sz w:val="28"/>
          <w:szCs w:val="28"/>
          <w:shd w:val="clear" w:color="auto" w:fill="FFFFFF"/>
        </w:rPr>
      </w:pPr>
    </w:p>
    <w:p w14:paraId="1204BDC8">
      <w:pPr>
        <w:rPr>
          <w:rFonts w:hint="eastAsia" w:ascii="仿宋_GB2312" w:hAnsi="仿宋_GB2312" w:eastAsia="仿宋_GB2312" w:cs="仿宋_GB2312"/>
          <w:color w:val="000000"/>
          <w:kern w:val="0"/>
          <w:sz w:val="28"/>
          <w:szCs w:val="28"/>
          <w:shd w:val="clear" w:color="auto" w:fill="FFFFFF"/>
        </w:rPr>
      </w:pPr>
    </w:p>
    <w:p w14:paraId="4CEC97A8">
      <w:pPr>
        <w:pStyle w:val="2"/>
        <w:rPr>
          <w:rFonts w:hint="eastAsia" w:ascii="仿宋_GB2312" w:hAnsi="仿宋_GB2312" w:eastAsia="仿宋_GB2312" w:cs="仿宋_GB2312"/>
          <w:color w:val="000000"/>
          <w:kern w:val="0"/>
          <w:sz w:val="28"/>
          <w:szCs w:val="28"/>
          <w:shd w:val="clear" w:color="auto" w:fill="FFFFFF"/>
        </w:rPr>
      </w:pPr>
    </w:p>
    <w:p w14:paraId="6842CC35">
      <w:pPr>
        <w:rPr>
          <w:rFonts w:hint="eastAsia" w:ascii="仿宋_GB2312" w:hAnsi="仿宋_GB2312" w:eastAsia="仿宋_GB2312" w:cs="仿宋_GB2312"/>
          <w:color w:val="000000"/>
          <w:kern w:val="0"/>
          <w:sz w:val="28"/>
          <w:szCs w:val="28"/>
          <w:shd w:val="clear" w:color="auto" w:fill="FFFFFF"/>
        </w:rPr>
      </w:pPr>
    </w:p>
    <w:p w14:paraId="0FC02315">
      <w:pPr>
        <w:pStyle w:val="2"/>
        <w:rPr>
          <w:rFonts w:hint="eastAsia" w:ascii="仿宋_GB2312" w:hAnsi="仿宋_GB2312" w:eastAsia="仿宋_GB2312" w:cs="仿宋_GB2312"/>
          <w:color w:val="000000"/>
          <w:kern w:val="0"/>
          <w:sz w:val="28"/>
          <w:szCs w:val="28"/>
          <w:shd w:val="clear" w:color="auto" w:fill="FFFFFF"/>
        </w:rPr>
      </w:pPr>
    </w:p>
    <w:p w14:paraId="5A150B1C">
      <w:pPr>
        <w:rPr>
          <w:rFonts w:hint="eastAsia"/>
          <w:b/>
          <w:bCs/>
          <w:sz w:val="24"/>
          <w:szCs w:val="32"/>
          <w:lang w:val="en-US" w:eastAsia="zh-CN"/>
        </w:rPr>
      </w:pPr>
    </w:p>
    <w:p w14:paraId="0FAF70CD">
      <w:pPr>
        <w:keepNext w:val="0"/>
        <w:keepLines w:val="0"/>
        <w:pageBreakBefore w:val="0"/>
        <w:widowControl w:val="0"/>
        <w:kinsoku/>
        <w:wordWrap/>
        <w:overflowPunct/>
        <w:topLinePunct w:val="0"/>
        <w:autoSpaceDE/>
        <w:autoSpaceDN/>
        <w:bidi w:val="0"/>
        <w:adjustRightInd/>
        <w:snapToGrid/>
        <w:spacing w:after="313" w:afterLines="100"/>
        <w:textAlignment w:val="auto"/>
        <w:rPr>
          <w:rFonts w:hint="default"/>
          <w:b/>
          <w:bCs/>
          <w:sz w:val="24"/>
          <w:szCs w:val="32"/>
          <w:lang w:val="en-US" w:eastAsia="zh-CN"/>
        </w:rPr>
      </w:pPr>
      <w:r>
        <w:rPr>
          <w:rFonts w:hint="eastAsia"/>
          <w:b/>
          <w:bCs/>
          <w:sz w:val="24"/>
          <w:szCs w:val="32"/>
          <w:lang w:val="en-US" w:eastAsia="zh-CN"/>
        </w:rPr>
        <w:t>附件四</w:t>
      </w:r>
    </w:p>
    <w:p w14:paraId="5CF72768">
      <w:pPr>
        <w:spacing w:line="360" w:lineRule="auto"/>
        <w:jc w:val="center"/>
        <w:rPr>
          <w:rFonts w:hint="default" w:ascii="宋体" w:hAnsi="宋体" w:eastAsia="宋体" w:cs="宋体"/>
          <w:b/>
          <w:kern w:val="0"/>
          <w:sz w:val="36"/>
          <w:szCs w:val="36"/>
          <w:lang w:val="en-US" w:eastAsia="zh-CN"/>
        </w:rPr>
      </w:pPr>
      <w:r>
        <w:rPr>
          <w:rFonts w:hint="eastAsia" w:ascii="宋体" w:hAnsi="宋体" w:cs="宋体"/>
          <w:b/>
          <w:kern w:val="0"/>
          <w:sz w:val="36"/>
          <w:szCs w:val="36"/>
          <w:lang w:val="en-US" w:eastAsia="zh-CN"/>
        </w:rPr>
        <w:t>安全文明施工协议书</w:t>
      </w:r>
    </w:p>
    <w:p w14:paraId="06EA6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安徽医科大学临床医学院</w:t>
      </w:r>
    </w:p>
    <w:p w14:paraId="40EEDE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乙方：</w:t>
      </w:r>
    </w:p>
    <w:p w14:paraId="1BEB1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为进一步明确甲、乙双方安全文明</w:t>
      </w:r>
      <w:r>
        <w:rPr>
          <w:rFonts w:hint="eastAsia" w:ascii="宋体" w:hAnsi="宋体" w:eastAsia="宋体" w:cs="宋体"/>
          <w:color w:val="000000"/>
          <w:kern w:val="0"/>
          <w:sz w:val="24"/>
          <w:shd w:val="clear" w:color="auto" w:fill="FFFFFF"/>
          <w:lang w:val="en-US" w:eastAsia="zh-CN"/>
        </w:rPr>
        <w:t>施工</w:t>
      </w:r>
      <w:r>
        <w:rPr>
          <w:rFonts w:hint="eastAsia" w:ascii="宋体" w:hAnsi="宋体" w:eastAsia="宋体" w:cs="宋体"/>
          <w:color w:val="000000"/>
          <w:kern w:val="0"/>
          <w:sz w:val="24"/>
          <w:shd w:val="clear" w:color="auto" w:fill="FFFFFF"/>
        </w:rPr>
        <w:t>方面工作的责任划分，确保工作现场内作业人员的生命安全，</w:t>
      </w:r>
      <w:r>
        <w:rPr>
          <w:rFonts w:hint="eastAsia" w:ascii="宋体" w:hAnsi="宋体" w:eastAsia="宋体" w:cs="宋体"/>
          <w:color w:val="000000"/>
          <w:kern w:val="0"/>
          <w:sz w:val="24"/>
          <w:shd w:val="clear" w:color="auto" w:fill="FFFFFF"/>
          <w:lang w:val="en-US" w:eastAsia="zh-CN"/>
        </w:rPr>
        <w:t>做好成品保护工作，</w:t>
      </w:r>
      <w:r>
        <w:rPr>
          <w:rFonts w:hint="eastAsia" w:ascii="宋体" w:hAnsi="宋体" w:eastAsia="宋体" w:cs="宋体"/>
          <w:color w:val="000000"/>
          <w:kern w:val="0"/>
          <w:sz w:val="24"/>
          <w:shd w:val="clear" w:color="auto" w:fill="FFFFFF"/>
        </w:rPr>
        <w:t>保证工作顺利进行，根据</w:t>
      </w:r>
      <w:r>
        <w:rPr>
          <w:rFonts w:hint="eastAsia" w:ascii="宋体" w:hAnsi="宋体" w:eastAsia="宋体" w:cs="宋体"/>
          <w:color w:val="000000"/>
          <w:kern w:val="0"/>
          <w:sz w:val="24"/>
          <w:shd w:val="clear" w:color="auto" w:fill="FFFFFF"/>
          <w:lang w:val="en-US" w:eastAsia="zh-CN"/>
        </w:rPr>
        <w:t>有关法律法规及双方签订的合同</w:t>
      </w:r>
      <w:r>
        <w:rPr>
          <w:rFonts w:hint="eastAsia" w:ascii="宋体" w:hAnsi="宋体" w:eastAsia="宋体" w:cs="宋体"/>
          <w:color w:val="000000"/>
          <w:kern w:val="0"/>
          <w:sz w:val="24"/>
          <w:shd w:val="clear" w:color="auto" w:fill="FFFFFF"/>
        </w:rPr>
        <w:t>，经甲乙双方协商一致，达成如下协议：</w:t>
      </w:r>
    </w:p>
    <w:p w14:paraId="549CCCB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乙方承诺严格按照合同约定的参数、质量标准组织生产、供货，双方封存样品的，实际交付的产品不得低于样品的质量标准。</w:t>
      </w:r>
    </w:p>
    <w:p w14:paraId="5AE811C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乙方需进行现场踏勘或现场复核，并结合现场条件出具产品设计图和施工方案，经甲乙双方签字确认后组织生产加工及现场施工作业。</w:t>
      </w:r>
    </w:p>
    <w:p w14:paraId="100E5C6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乙方车辆进/离场时，应根据甲方安保部门要求，按指定路线进入/驶离，进场后停靠在指定位置。行驶过程中应做到缓慢、有序，避免压坏路牙、井盖，损坏树木、绿植等，非作业时间停靠在指定停车点，不得随意挪动。如有损毁，乙方应按甲方要求更换、恢复，给甲方造成损失的，乙方应承担全部赔偿责任。</w:t>
      </w:r>
    </w:p>
    <w:p w14:paraId="3BB66AA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乙方卸货、安装、施工前应做好场地、环境确认，卸货、安装、施工时确保安全并对地面做好保护，搬货、安装、施工时须做好墙面、设备设施、管道管线、建筑结构以及其他成品保护。如有损坏，乙方应无条件按甲方要求修复或照价赔偿。</w:t>
      </w:r>
      <w:r>
        <w:rPr>
          <w:rFonts w:hint="eastAsia" w:ascii="宋体" w:hAnsi="宋体" w:eastAsia="宋体" w:cs="宋体"/>
          <w:sz w:val="24"/>
          <w:lang w:val="en-US" w:eastAsia="zh-CN"/>
        </w:rPr>
        <w:t>乙方应做好现场的环境卫生工作，对现场造成损坏或污染的，由乙方负责修复或清理，给甲方或任何第三方造成损失的，由乙方负责赔偿。</w:t>
      </w:r>
    </w:p>
    <w:p w14:paraId="49ABAFF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甲乙双方指定专人负责本项目的对接和管理工作，对接人对本项目的全过程负责。</w:t>
      </w:r>
      <w:r>
        <w:rPr>
          <w:rFonts w:hint="eastAsia" w:ascii="宋体" w:hAnsi="宋体" w:eastAsia="宋体" w:cs="宋体"/>
          <w:kern w:val="2"/>
          <w:sz w:val="24"/>
          <w:szCs w:val="24"/>
          <w:lang w:val="en-US" w:eastAsia="zh-CN" w:bidi="ar-SA"/>
        </w:rPr>
        <w:t>对接人员如需调整应及时书面告知对方。</w:t>
      </w:r>
      <w:r>
        <w:rPr>
          <w:rFonts w:hint="eastAsia" w:ascii="宋体" w:hAnsi="宋体" w:eastAsia="宋体" w:cs="宋体"/>
          <w:color w:val="000000"/>
          <w:kern w:val="0"/>
          <w:sz w:val="24"/>
          <w:shd w:val="clear" w:color="auto" w:fill="FFFFFF"/>
          <w:lang w:val="en-US" w:eastAsia="zh-CN"/>
        </w:rPr>
        <w:t>乙方项目负责人卸货、安装期间应保证不脱岗，并保持通信畅通，能够及时联络、沟通。</w:t>
      </w:r>
    </w:p>
    <w:p w14:paraId="5381F6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甲方对接人及联系电话：</w:t>
      </w:r>
      <w:r>
        <w:rPr>
          <w:rFonts w:hint="eastAsia" w:ascii="宋体" w:hAnsi="宋体" w:eastAsia="宋体" w:cs="宋体"/>
          <w:kern w:val="2"/>
          <w:sz w:val="24"/>
          <w:szCs w:val="24"/>
          <w:u w:val="single"/>
          <w:lang w:val="en-US" w:eastAsia="zh-CN" w:bidi="ar-SA"/>
        </w:rPr>
        <w:t xml:space="preserve">                       </w:t>
      </w:r>
    </w:p>
    <w:p w14:paraId="6A392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乙方对接人及联系电话：</w:t>
      </w:r>
      <w:r>
        <w:rPr>
          <w:rFonts w:hint="eastAsia" w:ascii="宋体" w:hAnsi="宋体" w:eastAsia="宋体" w:cs="宋体"/>
          <w:kern w:val="2"/>
          <w:sz w:val="24"/>
          <w:szCs w:val="24"/>
          <w:u w:val="single"/>
          <w:lang w:val="en-US" w:eastAsia="zh-CN" w:bidi="ar-SA"/>
        </w:rPr>
        <w:t xml:space="preserve">                       </w:t>
      </w:r>
    </w:p>
    <w:p w14:paraId="1F0F1E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采购经办人及联系电话：</w:t>
      </w:r>
      <w:r>
        <w:rPr>
          <w:rFonts w:hint="eastAsia" w:ascii="宋体" w:hAnsi="宋体" w:eastAsia="宋体" w:cs="宋体"/>
          <w:kern w:val="2"/>
          <w:sz w:val="24"/>
          <w:szCs w:val="24"/>
          <w:u w:val="single"/>
          <w:lang w:val="en-US" w:eastAsia="zh-CN" w:bidi="ar-SA"/>
        </w:rPr>
        <w:t xml:space="preserve">                       </w:t>
      </w:r>
    </w:p>
    <w:p w14:paraId="703A625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因现场安装、施工等需要用水、用电、使用特殊设备时须提前报备并征得甲方同意，使用过程应规范并确保安全，作业完成应立即切断水、电等。否则，甲方有权视现场情况给予乙方【】元-【】元/次的罚款。</w:t>
      </w:r>
    </w:p>
    <w:p w14:paraId="790EFF6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双方应严格遵守国家有关</w:t>
      </w:r>
      <w:r>
        <w:rPr>
          <w:rFonts w:hint="eastAsia" w:ascii="宋体" w:hAnsi="宋体" w:eastAsia="宋体" w:cs="宋体"/>
          <w:color w:val="000000"/>
          <w:kern w:val="0"/>
          <w:sz w:val="24"/>
          <w:shd w:val="clear" w:color="auto" w:fill="FFFFFF"/>
          <w:lang w:val="en-US" w:eastAsia="zh-CN"/>
        </w:rPr>
        <w:t>文明施工、</w:t>
      </w:r>
      <w:r>
        <w:rPr>
          <w:rFonts w:hint="eastAsia" w:ascii="宋体" w:hAnsi="宋体" w:eastAsia="宋体" w:cs="宋体"/>
          <w:color w:val="000000"/>
          <w:kern w:val="0"/>
          <w:sz w:val="24"/>
          <w:shd w:val="clear" w:color="auto" w:fill="FFFFFF"/>
        </w:rPr>
        <w:t>安全生产的法律法规</w:t>
      </w:r>
      <w:r>
        <w:rPr>
          <w:rFonts w:hint="eastAsia" w:ascii="宋体" w:hAnsi="宋体" w:eastAsia="宋体" w:cs="宋体"/>
          <w:color w:val="000000"/>
          <w:kern w:val="0"/>
          <w:sz w:val="24"/>
          <w:shd w:val="clear" w:color="auto" w:fill="FFFFFF"/>
          <w:lang w:val="en-US" w:eastAsia="zh-CN"/>
        </w:rPr>
        <w:t>及相关规定</w:t>
      </w:r>
      <w:r>
        <w:rPr>
          <w:rFonts w:hint="eastAsia" w:ascii="宋体" w:hAnsi="宋体" w:eastAsia="宋体" w:cs="宋体"/>
          <w:color w:val="000000"/>
          <w:kern w:val="0"/>
          <w:sz w:val="24"/>
          <w:shd w:val="clear" w:color="auto" w:fill="FFFFFF"/>
        </w:rPr>
        <w:t>，认真执行有关安全要求</w:t>
      </w:r>
      <w:r>
        <w:rPr>
          <w:rFonts w:hint="eastAsia" w:ascii="宋体" w:hAnsi="宋体" w:eastAsia="宋体" w:cs="宋体"/>
          <w:color w:val="000000"/>
          <w:kern w:val="0"/>
          <w:sz w:val="24"/>
          <w:shd w:val="clear" w:color="auto" w:fill="FFFFFF"/>
          <w:lang w:eastAsia="zh-CN"/>
        </w:rPr>
        <w:t>，</w:t>
      </w:r>
      <w:r>
        <w:rPr>
          <w:rFonts w:hint="eastAsia" w:ascii="宋体" w:hAnsi="宋体" w:eastAsia="宋体" w:cs="宋体"/>
          <w:color w:val="000000"/>
          <w:kern w:val="0"/>
          <w:sz w:val="24"/>
          <w:shd w:val="clear" w:color="auto" w:fill="FFFFFF"/>
          <w:lang w:val="en-US" w:eastAsia="zh-CN"/>
        </w:rPr>
        <w:t>严格遵守安全操作规程</w:t>
      </w:r>
      <w:r>
        <w:rPr>
          <w:rFonts w:hint="eastAsia" w:ascii="宋体" w:hAnsi="宋体" w:eastAsia="宋体" w:cs="宋体"/>
          <w:color w:val="000000"/>
          <w:kern w:val="0"/>
          <w:sz w:val="24"/>
          <w:shd w:val="clear" w:color="auto" w:fill="FFFFFF"/>
        </w:rPr>
        <w:t>。</w:t>
      </w:r>
      <w:r>
        <w:rPr>
          <w:rFonts w:hint="eastAsia" w:ascii="宋体" w:hAnsi="宋体" w:eastAsia="宋体" w:cs="宋体"/>
          <w:color w:val="000000"/>
          <w:kern w:val="0"/>
          <w:sz w:val="24"/>
          <w:shd w:val="clear" w:color="auto" w:fill="FFFFFF"/>
          <w:lang w:val="en-US" w:eastAsia="zh-CN"/>
        </w:rPr>
        <w:t>特殊工种作业，乙方需按要求安排相关专业人员持证上岗作业。安排未取得特种作业操作证的人员上岗作业的，甲方有权给予乙方500元/次的罚款，且乙方应承担由此造成的一切责任并赔偿损失。</w:t>
      </w:r>
    </w:p>
    <w:p w14:paraId="6BD7E5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bCs/>
          <w:color w:val="000000"/>
          <w:kern w:val="0"/>
          <w:sz w:val="24"/>
        </w:rPr>
        <w:t>乙方需做好安全施工防</w:t>
      </w:r>
      <w:r>
        <w:rPr>
          <w:rFonts w:hint="eastAsia" w:ascii="宋体" w:hAnsi="宋体" w:eastAsia="宋体" w:cs="宋体"/>
          <w:bCs/>
          <w:color w:val="000000"/>
          <w:kern w:val="0"/>
          <w:sz w:val="24"/>
          <w:lang w:val="en-US" w:eastAsia="zh-CN"/>
        </w:rPr>
        <w:t>护</w:t>
      </w:r>
      <w:r>
        <w:rPr>
          <w:rFonts w:hint="eastAsia" w:ascii="宋体" w:hAnsi="宋体" w:eastAsia="宋体" w:cs="宋体"/>
          <w:bCs/>
          <w:color w:val="000000"/>
          <w:kern w:val="0"/>
          <w:sz w:val="24"/>
        </w:rPr>
        <w:t>措施，</w:t>
      </w:r>
      <w:r>
        <w:rPr>
          <w:rFonts w:hint="eastAsia" w:ascii="宋体" w:hAnsi="宋体" w:eastAsia="宋体" w:cs="宋体"/>
          <w:sz w:val="24"/>
        </w:rPr>
        <w:t>加强安全文明施工管理，</w:t>
      </w:r>
      <w:r>
        <w:rPr>
          <w:rFonts w:hint="eastAsia" w:ascii="宋体" w:hAnsi="宋体" w:eastAsia="宋体" w:cs="宋体"/>
          <w:sz w:val="24"/>
          <w:lang w:val="en-US" w:eastAsia="zh-CN"/>
        </w:rPr>
        <w:t>高空作业应按规定佩戴安全带、安全帽，设置安全网等。</w:t>
      </w:r>
      <w:r>
        <w:rPr>
          <w:rFonts w:hint="eastAsia" w:ascii="宋体" w:hAnsi="宋体" w:eastAsia="宋体" w:cs="宋体"/>
          <w:bCs/>
          <w:color w:val="000000"/>
          <w:kern w:val="0"/>
          <w:sz w:val="24"/>
        </w:rPr>
        <w:t>现场施工</w:t>
      </w:r>
      <w:r>
        <w:rPr>
          <w:rFonts w:hint="eastAsia" w:ascii="宋体" w:hAnsi="宋体" w:eastAsia="宋体" w:cs="宋体"/>
          <w:bCs/>
          <w:color w:val="000000"/>
          <w:kern w:val="0"/>
          <w:sz w:val="24"/>
          <w:lang w:val="en-US" w:eastAsia="zh-CN"/>
        </w:rPr>
        <w:t>过</w:t>
      </w:r>
      <w:r>
        <w:rPr>
          <w:rFonts w:hint="eastAsia" w:ascii="宋体" w:hAnsi="宋体" w:eastAsia="宋体" w:cs="宋体"/>
          <w:bCs/>
          <w:color w:val="000000"/>
          <w:kern w:val="0"/>
          <w:sz w:val="24"/>
        </w:rPr>
        <w:t>程中发生的人身安全、财</w:t>
      </w:r>
      <w:r>
        <w:rPr>
          <w:rFonts w:hint="eastAsia" w:ascii="宋体" w:hAnsi="宋体" w:eastAsia="宋体" w:cs="宋体"/>
          <w:bCs/>
          <w:color w:val="000000"/>
          <w:kern w:val="0"/>
          <w:sz w:val="24"/>
          <w:lang w:val="en-US" w:eastAsia="zh-CN"/>
        </w:rPr>
        <w:t>产</w:t>
      </w:r>
      <w:r>
        <w:rPr>
          <w:rFonts w:hint="eastAsia" w:ascii="宋体" w:hAnsi="宋体" w:eastAsia="宋体" w:cs="宋体"/>
          <w:bCs/>
          <w:color w:val="000000"/>
          <w:kern w:val="0"/>
          <w:sz w:val="24"/>
        </w:rPr>
        <w:t>损失的，均由乙方承担，</w:t>
      </w:r>
      <w:r>
        <w:rPr>
          <w:rFonts w:hint="eastAsia" w:ascii="宋体" w:hAnsi="宋体" w:eastAsia="宋体" w:cs="宋体"/>
          <w:sz w:val="24"/>
        </w:rPr>
        <w:t>给甲方</w:t>
      </w:r>
      <w:r>
        <w:rPr>
          <w:rFonts w:hint="eastAsia" w:ascii="宋体" w:hAnsi="宋体" w:eastAsia="宋体" w:cs="宋体"/>
          <w:sz w:val="24"/>
          <w:lang w:val="en-US" w:eastAsia="zh-CN"/>
        </w:rPr>
        <w:t>或任何第三方</w:t>
      </w:r>
      <w:r>
        <w:rPr>
          <w:rFonts w:hint="eastAsia" w:ascii="宋体" w:hAnsi="宋体" w:eastAsia="宋体" w:cs="宋体"/>
          <w:sz w:val="24"/>
        </w:rPr>
        <w:t>造成损失的，由乙方负责赔偿。</w:t>
      </w:r>
      <w:r>
        <w:rPr>
          <w:rFonts w:hint="eastAsia" w:ascii="宋体" w:hAnsi="宋体" w:eastAsia="宋体" w:cs="宋体"/>
          <w:sz w:val="24"/>
          <w:lang w:val="en-US" w:eastAsia="zh-CN"/>
        </w:rPr>
        <w:t>项目履约期间因乙方原因发生的任何安全、消防等事故，均由乙方承担一切责任并赔偿因此给甲方造成的损失。</w:t>
      </w:r>
    </w:p>
    <w:p w14:paraId="1826AF9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乙方作业完成时，应对现场进行清理，不得乱堆乱放。若因乙方原因未及时清理，甲方有权指派他人对现场进行清理，所发生的费用由乙方承担。乙方拒绝支付的，甲方有权追偿。</w:t>
      </w:r>
    </w:p>
    <w:p w14:paraId="2D2A5B8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甲方有权对乙方的安全生产</w:t>
      </w:r>
      <w:r>
        <w:rPr>
          <w:rFonts w:hint="eastAsia" w:ascii="宋体" w:hAnsi="宋体" w:eastAsia="宋体" w:cs="宋体"/>
          <w:color w:val="000000"/>
          <w:kern w:val="0"/>
          <w:sz w:val="24"/>
          <w:shd w:val="clear" w:color="auto" w:fill="FFFFFF"/>
          <w:lang w:val="en-US" w:eastAsia="zh-CN"/>
        </w:rPr>
        <w:t>及现场情况</w:t>
      </w:r>
      <w:r>
        <w:rPr>
          <w:rFonts w:hint="eastAsia" w:ascii="宋体" w:hAnsi="宋体" w:eastAsia="宋体" w:cs="宋体"/>
          <w:color w:val="000000"/>
          <w:kern w:val="0"/>
          <w:sz w:val="24"/>
          <w:shd w:val="clear" w:color="auto" w:fill="FFFFFF"/>
        </w:rPr>
        <w:t>进行监督，对违规、违章行为</w:t>
      </w:r>
      <w:r>
        <w:rPr>
          <w:rFonts w:hint="eastAsia" w:ascii="宋体" w:hAnsi="宋体" w:eastAsia="宋体" w:cs="宋体"/>
          <w:color w:val="000000"/>
          <w:kern w:val="0"/>
          <w:sz w:val="24"/>
          <w:shd w:val="clear" w:color="auto" w:fill="FFFFFF"/>
          <w:lang w:val="en-US" w:eastAsia="zh-CN"/>
        </w:rPr>
        <w:t>以及违反本协议书约定行为均</w:t>
      </w:r>
      <w:r>
        <w:rPr>
          <w:rFonts w:hint="eastAsia" w:ascii="宋体" w:hAnsi="宋体" w:eastAsia="宋体" w:cs="宋体"/>
          <w:color w:val="000000"/>
          <w:kern w:val="0"/>
          <w:sz w:val="24"/>
          <w:shd w:val="clear" w:color="auto" w:fill="FFFFFF"/>
        </w:rPr>
        <w:t>有权制止，限期整改，并根据具体情况进行</w:t>
      </w:r>
      <w:r>
        <w:rPr>
          <w:rFonts w:hint="eastAsia" w:ascii="宋体" w:hAnsi="宋体" w:eastAsia="宋体" w:cs="宋体"/>
          <w:color w:val="000000"/>
          <w:kern w:val="0"/>
          <w:sz w:val="24"/>
          <w:shd w:val="clear" w:color="auto" w:fill="FFFFFF"/>
          <w:lang w:eastAsia="zh-CN"/>
        </w:rPr>
        <w:t>【】</w:t>
      </w:r>
      <w:r>
        <w:rPr>
          <w:rFonts w:hint="eastAsia" w:ascii="宋体" w:hAnsi="宋体" w:eastAsia="宋体" w:cs="宋体"/>
          <w:color w:val="000000"/>
          <w:kern w:val="0"/>
          <w:sz w:val="24"/>
          <w:shd w:val="clear" w:color="auto" w:fill="FFFFFF"/>
          <w:lang w:val="en-US" w:eastAsia="zh-CN"/>
        </w:rPr>
        <w:t>-【】的罚款或其他</w:t>
      </w:r>
      <w:r>
        <w:rPr>
          <w:rFonts w:hint="eastAsia" w:ascii="宋体" w:hAnsi="宋体" w:eastAsia="宋体" w:cs="宋体"/>
          <w:color w:val="000000"/>
          <w:kern w:val="0"/>
          <w:sz w:val="24"/>
          <w:shd w:val="clear" w:color="auto" w:fill="FFFFFF"/>
        </w:rPr>
        <w:t>处罚，若不按期改正，甲方有权责令乙方停工，停工</w:t>
      </w:r>
      <w:r>
        <w:rPr>
          <w:rFonts w:hint="eastAsia" w:ascii="宋体" w:hAnsi="宋体" w:eastAsia="宋体" w:cs="宋体"/>
          <w:color w:val="000000"/>
          <w:kern w:val="0"/>
          <w:sz w:val="24"/>
          <w:shd w:val="clear" w:color="auto" w:fill="FFFFFF"/>
          <w:lang w:val="en-US" w:eastAsia="zh-CN"/>
        </w:rPr>
        <w:t>期间</w:t>
      </w:r>
      <w:r>
        <w:rPr>
          <w:rFonts w:hint="eastAsia" w:ascii="宋体" w:hAnsi="宋体" w:eastAsia="宋体" w:cs="宋体"/>
          <w:color w:val="000000"/>
          <w:kern w:val="0"/>
          <w:sz w:val="24"/>
          <w:shd w:val="clear" w:color="auto" w:fill="FFFFFF"/>
        </w:rPr>
        <w:t>的费用及其他损失由乙方</w:t>
      </w:r>
      <w:r>
        <w:rPr>
          <w:rFonts w:hint="eastAsia" w:ascii="宋体" w:hAnsi="宋体" w:eastAsia="宋体" w:cs="宋体"/>
          <w:color w:val="000000"/>
          <w:kern w:val="0"/>
          <w:sz w:val="24"/>
          <w:shd w:val="clear" w:color="auto" w:fill="FFFFFF"/>
          <w:lang w:val="en-US" w:eastAsia="zh-CN"/>
        </w:rPr>
        <w:t>自行</w:t>
      </w:r>
      <w:r>
        <w:rPr>
          <w:rFonts w:hint="eastAsia" w:ascii="宋体" w:hAnsi="宋体" w:eastAsia="宋体" w:cs="宋体"/>
          <w:color w:val="000000"/>
          <w:kern w:val="0"/>
          <w:sz w:val="24"/>
          <w:shd w:val="clear" w:color="auto" w:fill="FFFFFF"/>
        </w:rPr>
        <w:t>负责。</w:t>
      </w:r>
      <w:r>
        <w:rPr>
          <w:rFonts w:hint="eastAsia" w:ascii="宋体" w:hAnsi="宋体" w:eastAsia="宋体" w:cs="宋体"/>
          <w:color w:val="000000"/>
          <w:kern w:val="0"/>
          <w:sz w:val="24"/>
          <w:shd w:val="clear" w:color="auto" w:fill="FFFFFF"/>
          <w:lang w:val="en-US" w:eastAsia="zh-CN"/>
        </w:rPr>
        <w:t>情节严重的，甲方还有权单方解除合同并要求乙方按项目合同承担责任。</w:t>
      </w:r>
    </w:p>
    <w:p w14:paraId="4D0F037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u w:val="single"/>
          <w:shd w:val="clear" w:color="auto" w:fill="FFFFFF"/>
        </w:rPr>
      </w:pPr>
      <w:r>
        <w:rPr>
          <w:rFonts w:hint="eastAsia" w:ascii="宋体" w:hAnsi="宋体" w:eastAsia="宋体" w:cs="宋体"/>
          <w:color w:val="000000"/>
          <w:kern w:val="0"/>
          <w:sz w:val="24"/>
          <w:shd w:val="clear" w:color="auto" w:fill="FFFFFF"/>
        </w:rPr>
        <w:t>其他</w:t>
      </w:r>
      <w:r>
        <w:rPr>
          <w:rFonts w:hint="eastAsia" w:ascii="宋体" w:hAnsi="宋体" w:eastAsia="宋体" w:cs="宋体"/>
          <w:color w:val="000000"/>
          <w:kern w:val="0"/>
          <w:sz w:val="24"/>
          <w:shd w:val="clear" w:color="auto" w:fill="FFFFFF"/>
          <w:lang w:val="en-US" w:eastAsia="zh-CN"/>
        </w:rPr>
        <w:t>约定:</w:t>
      </w:r>
      <w:r>
        <w:rPr>
          <w:rFonts w:hint="eastAsia" w:ascii="宋体" w:hAnsi="宋体" w:eastAsia="宋体" w:cs="宋体"/>
          <w:color w:val="000000"/>
          <w:kern w:val="0"/>
          <w:sz w:val="24"/>
          <w:u w:val="single"/>
          <w:shd w:val="clear" w:color="auto" w:fill="FFFFFF"/>
          <w:lang w:val="en-US" w:eastAsia="zh-CN"/>
        </w:rPr>
        <w:t xml:space="preserve">                                                          </w:t>
      </w:r>
    </w:p>
    <w:p w14:paraId="70D9668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本协议由双方签字盖章后生效。本协议一式</w:t>
      </w:r>
      <w:r>
        <w:rPr>
          <w:rFonts w:hint="eastAsia" w:ascii="宋体" w:hAnsi="宋体" w:eastAsia="宋体" w:cs="宋体"/>
          <w:color w:val="000000"/>
          <w:kern w:val="0"/>
          <w:sz w:val="24"/>
          <w:shd w:val="clear" w:color="auto" w:fill="FFFFFF"/>
          <w:lang w:val="en-US" w:eastAsia="zh-CN"/>
        </w:rPr>
        <w:t xml:space="preserve">  </w:t>
      </w:r>
      <w:r>
        <w:rPr>
          <w:rFonts w:hint="eastAsia" w:ascii="宋体" w:hAnsi="宋体" w:eastAsia="宋体" w:cs="宋体"/>
          <w:color w:val="000000"/>
          <w:kern w:val="0"/>
          <w:sz w:val="24"/>
          <w:shd w:val="clear" w:color="auto" w:fill="FFFFFF"/>
        </w:rPr>
        <w:t>份，</w:t>
      </w:r>
      <w:r>
        <w:rPr>
          <w:rFonts w:hint="eastAsia" w:ascii="宋体" w:hAnsi="宋体" w:eastAsia="宋体" w:cs="宋体"/>
          <w:color w:val="000000"/>
          <w:kern w:val="0"/>
          <w:sz w:val="24"/>
          <w:shd w:val="clear" w:color="auto" w:fill="FFFFFF"/>
          <w:lang w:val="en-US" w:eastAsia="zh-CN"/>
        </w:rPr>
        <w:t>甲方执  份，乙方</w:t>
      </w:r>
      <w:r>
        <w:rPr>
          <w:rFonts w:hint="eastAsia" w:ascii="宋体" w:hAnsi="宋体" w:eastAsia="宋体" w:cs="宋体"/>
          <w:color w:val="000000"/>
          <w:kern w:val="0"/>
          <w:sz w:val="24"/>
          <w:shd w:val="clear" w:color="auto" w:fill="FFFFFF"/>
        </w:rPr>
        <w:t>执</w:t>
      </w:r>
      <w:r>
        <w:rPr>
          <w:rFonts w:hint="eastAsia" w:ascii="宋体" w:hAnsi="宋体" w:eastAsia="宋体" w:cs="宋体"/>
          <w:color w:val="000000"/>
          <w:kern w:val="0"/>
          <w:sz w:val="24"/>
          <w:shd w:val="clear" w:color="auto" w:fill="FFFFFF"/>
          <w:lang w:val="en-US" w:eastAsia="zh-CN"/>
        </w:rPr>
        <w:t xml:space="preserve">  </w:t>
      </w:r>
      <w:r>
        <w:rPr>
          <w:rFonts w:hint="eastAsia" w:ascii="宋体" w:hAnsi="宋体" w:eastAsia="宋体" w:cs="宋体"/>
          <w:color w:val="000000"/>
          <w:kern w:val="0"/>
          <w:sz w:val="24"/>
          <w:shd w:val="clear" w:color="auto" w:fill="FFFFFF"/>
        </w:rPr>
        <w:t>份。</w:t>
      </w:r>
    </w:p>
    <w:p w14:paraId="5225C3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0"/>
          <w:shd w:val="clear" w:color="auto" w:fill="FFFFFF"/>
        </w:rPr>
      </w:pPr>
    </w:p>
    <w:p w14:paraId="69E78C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0"/>
          <w:shd w:val="clear" w:color="auto" w:fill="FFFFFF"/>
        </w:rPr>
      </w:pPr>
    </w:p>
    <w:p w14:paraId="53D953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0"/>
          <w:shd w:val="clear" w:color="auto" w:fill="FFFFFF"/>
        </w:rPr>
      </w:pPr>
      <w:r>
        <w:rPr>
          <w:rFonts w:hint="eastAsia" w:ascii="宋体" w:hAnsi="宋体" w:eastAsia="宋体" w:cs="宋体"/>
          <w:kern w:val="0"/>
          <w:sz w:val="24"/>
          <w:szCs w:val="20"/>
          <w:shd w:val="clear" w:color="auto" w:fill="FFFFFF"/>
        </w:rPr>
        <w:t>甲方单位：（盖章）</w:t>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rPr>
        <w:t>乙方单位：（盖章）</w:t>
      </w:r>
    </w:p>
    <w:p w14:paraId="22098E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0"/>
          <w:shd w:val="clear" w:color="auto" w:fill="FFFFFF"/>
        </w:rPr>
      </w:pPr>
      <w:r>
        <w:rPr>
          <w:rFonts w:hint="eastAsia" w:ascii="宋体" w:hAnsi="宋体" w:eastAsia="宋体" w:cs="宋体"/>
          <w:kern w:val="0"/>
          <w:sz w:val="24"/>
          <w:szCs w:val="20"/>
          <w:shd w:val="clear" w:color="auto" w:fill="FFFFFF"/>
        </w:rPr>
        <w:t>法定代表人：</w:t>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rPr>
        <w:t>法定代表人：</w:t>
      </w:r>
    </w:p>
    <w:p w14:paraId="56B294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0"/>
          <w:shd w:val="clear" w:color="auto" w:fill="FFFFFF"/>
        </w:rPr>
      </w:pPr>
      <w:r>
        <w:rPr>
          <w:rFonts w:hint="eastAsia" w:ascii="宋体" w:hAnsi="宋体" w:eastAsia="宋体" w:cs="宋体"/>
          <w:kern w:val="0"/>
          <w:sz w:val="24"/>
          <w:szCs w:val="20"/>
          <w:shd w:val="clear" w:color="auto" w:fill="FFFFFF"/>
        </w:rPr>
        <w:t>委托代理人：</w:t>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rPr>
        <w:t>委托代理人：</w:t>
      </w:r>
    </w:p>
    <w:p w14:paraId="36C7A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hd w:val="clear" w:color="auto" w:fill="FFFFFF"/>
        </w:rPr>
      </w:pPr>
      <w:r>
        <w:rPr>
          <w:rFonts w:hint="eastAsia" w:ascii="宋体" w:hAnsi="宋体" w:eastAsia="宋体" w:cs="宋体"/>
          <w:kern w:val="0"/>
          <w:sz w:val="24"/>
          <w:szCs w:val="20"/>
          <w:shd w:val="clear" w:color="auto" w:fill="FFFFFF"/>
        </w:rPr>
        <w:t>项目负责人：</w:t>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lang w:val="en-US" w:eastAsia="zh-CN"/>
        </w:rPr>
        <w:tab/>
      </w:r>
      <w:r>
        <w:rPr>
          <w:rFonts w:hint="eastAsia" w:ascii="宋体" w:hAnsi="宋体" w:eastAsia="宋体" w:cs="宋体"/>
          <w:kern w:val="0"/>
          <w:sz w:val="24"/>
          <w:szCs w:val="20"/>
          <w:shd w:val="clear" w:color="auto" w:fill="FFFFFF"/>
        </w:rPr>
        <w:t>项目负责人：</w:t>
      </w:r>
    </w:p>
    <w:p w14:paraId="7711359C">
      <w:pPr>
        <w:rPr>
          <w:rFonts w:hint="eastAsia" w:ascii="仿宋_GB2312" w:hAnsi="仿宋_GB2312" w:eastAsia="仿宋_GB2312" w:cs="仿宋_GB2312"/>
          <w:color w:val="000000"/>
          <w:kern w:val="0"/>
          <w:sz w:val="28"/>
          <w:szCs w:val="28"/>
          <w:shd w:val="clear" w:color="auto" w:fill="FFFFFF"/>
        </w:rPr>
      </w:pPr>
    </w:p>
    <w:p w14:paraId="20B63947">
      <w:pPr>
        <w:pStyle w:val="2"/>
        <w:rPr>
          <w:rFonts w:hint="eastAsia" w:ascii="仿宋_GB2312" w:hAnsi="仿宋_GB2312" w:eastAsia="仿宋_GB2312" w:cs="仿宋_GB2312"/>
          <w:color w:val="000000"/>
          <w:kern w:val="0"/>
          <w:sz w:val="28"/>
          <w:szCs w:val="28"/>
          <w:shd w:val="clear" w:color="auto" w:fill="FFFFFF"/>
        </w:rPr>
      </w:pPr>
    </w:p>
    <w:p w14:paraId="72043B4C">
      <w:pPr>
        <w:rPr>
          <w:rFonts w:hint="default"/>
          <w:lang w:val="en-US" w:eastAsia="zh-CN"/>
        </w:rPr>
      </w:pPr>
    </w:p>
    <w:p w14:paraId="3D9286A5"/>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9DD5A"/>
    <w:multiLevelType w:val="singleLevel"/>
    <w:tmpl w:val="F0C9DD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73F05"/>
    <w:rsid w:val="5847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unhideWhenUsed/>
    <w:qFormat/>
    <w:uiPriority w:val="0"/>
    <w:pPr>
      <w:ind w:firstLine="645"/>
    </w:pPr>
    <w:rPr>
      <w:rFonts w:ascii="@FangSong_GB2312" w:hAnsi="@FangSong_GB2312" w:eastAsia="@FangSong_GB2312"/>
      <w:kern w:val="0"/>
      <w:sz w:val="32"/>
      <w:szCs w:val="20"/>
    </w:r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pPr>
    <w:rPr>
      <w:szCs w:val="20"/>
    </w:rPr>
  </w:style>
  <w:style w:type="paragraph" w:styleId="6">
    <w:name w:val="Date"/>
    <w:basedOn w:val="1"/>
    <w:next w:val="1"/>
    <w:qFormat/>
    <w:uiPriority w:val="0"/>
    <w:rPr>
      <w:rFonts w:ascii="仿宋_GB2312" w:eastAsia="仿宋_GB2312"/>
      <w:sz w:val="30"/>
      <w:szCs w:val="20"/>
    </w:rPr>
  </w:style>
  <w:style w:type="paragraph" w:styleId="7">
    <w:name w:val="Body Text First Indent"/>
    <w:basedOn w:val="5"/>
    <w:next w:val="1"/>
    <w:qFormat/>
    <w:uiPriority w:val="0"/>
    <w:pPr>
      <w:adjustRightInd w:val="0"/>
      <w:spacing w:line="360" w:lineRule="auto"/>
      <w:ind w:firstLine="420"/>
      <w:textAlignment w:val="baseline"/>
    </w:pPr>
    <w:rPr>
      <w:rFonts w:ascii="Calibri" w:hAnsi="Calibri" w:eastAsia="楷体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2026-01-29T08:50:00Z</dcterms:created>
  <dc:creator>心若向阳</dc:creator>
  <cp:lastModifiedBy>心若向阳</cp:lastModifiedBy>
  <dcterms:modified xsi:type="dcterms:W3CDTF">2026-01-29T08:53:02Z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0C67D54F243543A79F419CB39D91FB5D_11</vt:lpwstr>
  </property>
  <property fmtid="{D5CDD505-2E9C-101B-9397-08002B2CF9AE}" pid="4" name="KSOTemplateDocerSaveRecord">
    <vt:lpwstr>eyJoZGlkIjoiNWRkZWEwYjc3ZjU0NTk3MTZjMGQwMGQwN2RkMDczMzMiLCJ1c2VySWQiOiI0NDcxMDY1MDAifQ==</vt:lpwstr>
  </property>
</Properties>
</file>