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18BD">
      <w:pPr>
        <w:pStyle w:val="7"/>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附件一</w:t>
      </w:r>
    </w:p>
    <w:p w14:paraId="1A9A26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color w:val="auto"/>
          <w:kern w:val="0"/>
          <w:sz w:val="36"/>
          <w:szCs w:val="36"/>
          <w:highlight w:val="none"/>
          <w:shd w:val="clear" w:color="auto" w:fill="FFFFFF"/>
          <w:lang w:val="en-US"/>
        </w:rPr>
      </w:pPr>
      <w:r>
        <w:rPr>
          <w:rFonts w:hint="eastAsia" w:ascii="仿宋" w:hAnsi="仿宋" w:eastAsia="仿宋" w:cs="仿宋"/>
          <w:b/>
          <w:bCs w:val="0"/>
          <w:snapToGrid w:val="0"/>
          <w:color w:val="auto"/>
          <w:kern w:val="0"/>
          <w:sz w:val="36"/>
          <w:szCs w:val="36"/>
          <w:highlight w:val="none"/>
          <w:shd w:val="clear" w:color="auto" w:fill="FFFFFF"/>
          <w:lang w:val="en-US" w:eastAsia="zh-CN" w:bidi="ar"/>
        </w:rPr>
        <w:t>廉政承诺书</w:t>
      </w:r>
    </w:p>
    <w:p w14:paraId="00504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0000FF"/>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甲方：安徽医科大学临床医学院</w:t>
      </w:r>
    </w:p>
    <w:p w14:paraId="01B66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乙方：</w:t>
      </w:r>
    </w:p>
    <w:p w14:paraId="4E91D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631E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第一条 甲乙双方共同承诺</w:t>
      </w:r>
    </w:p>
    <w:p w14:paraId="520E8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（一）严格遵守国家关于市场准入、项目招标投标、工程建设、施工安装、物资采购和市场活动等有关法律、法规和相关政策，以及廉政建设的各项规定。</w:t>
      </w:r>
    </w:p>
    <w:p w14:paraId="37B94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（二）严格执行合同文件，自觉按合同办事。</w:t>
      </w:r>
    </w:p>
    <w:p w14:paraId="7948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（三）坚持公开、公平、公正的原则，不为获取不正当利益而损害对方利益。</w:t>
      </w:r>
    </w:p>
    <w:p w14:paraId="5C3B3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（四）保守对方的商业秘密，不将其用于交易以外的目的。</w:t>
      </w:r>
    </w:p>
    <w:p w14:paraId="5470F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第二条 甲方承诺</w:t>
      </w:r>
    </w:p>
    <w:p w14:paraId="5E045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 xml:space="preserve">在交易的事前、事中、事后遵守以下（包括但不限于）事项： </w:t>
      </w:r>
    </w:p>
    <w:p w14:paraId="6A26E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（一）不参加乙方或相关单位的宴请。</w:t>
      </w:r>
    </w:p>
    <w:p w14:paraId="19DF4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（二）不私自收受乙方或相关单位的礼品、礼券或以“低价付款”的物品。</w:t>
      </w:r>
    </w:p>
    <w:p w14:paraId="0CF13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（三）不接受乙方或相关单位的礼金、贿赂、账外回扣等任何形式的私下经济利益。</w:t>
      </w:r>
    </w:p>
    <w:p w14:paraId="2D411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（四）不私自接受乙方或相关单位提供的娱乐、游玩或任何考察形式的变相旅游等活动。</w:t>
      </w:r>
    </w:p>
    <w:p w14:paraId="08626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225C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（六）不得有其他任何在乙方等相关单位获取不当利益的行为。</w:t>
      </w:r>
    </w:p>
    <w:p w14:paraId="05AE3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第三条 乙方承诺</w:t>
      </w:r>
    </w:p>
    <w:p w14:paraId="70ABC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在交易的事前、事中、事后遵守以下（包括但不限于）事项：</w:t>
      </w:r>
    </w:p>
    <w:p w14:paraId="069E2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（一）与甲方保持正常的业务交往，严格执行合同约定。</w:t>
      </w:r>
    </w:p>
    <w:p w14:paraId="65C22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（二）不向甲方工作人员及任何与甲方相关联的单位或个人提供宴请、旅游、健身、娱乐、变相考察等活动。</w:t>
      </w:r>
    </w:p>
    <w:p w14:paraId="5AD5D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（三）不私自向甲方、相关单位及其工作人员赠送礼品、现金、有价卡券等。</w:t>
      </w:r>
    </w:p>
    <w:p w14:paraId="74149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四）不在账外给予甲方、相关单位及其工作人员回扣；不假借促销费、宣传费、赞助费、科研费、劳务费、咨询费、好处费、感谢费、佣金等名义，或者以报销各种费用等方式，给付甲方、相关单位及其工作人员财物（利益）。</w:t>
      </w:r>
    </w:p>
    <w:p w14:paraId="25F50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（五）及时向甲方通报甲方人员违反本承诺书规定的行为。</w:t>
      </w:r>
    </w:p>
    <w:p w14:paraId="03DDA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第四条 违约责任</w:t>
      </w:r>
    </w:p>
    <w:p w14:paraId="0027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14:paraId="6FE9F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14:paraId="51E97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第五条 本承诺书作为交易合同或协议的附件，与交易合同或协议具有同等法律效力。经双方签署后立即生效。</w:t>
      </w:r>
    </w:p>
    <w:p w14:paraId="3A50C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第六条 乙方在履行合同或协议过程中，若发现甲方的相关人员有违反《廉政承诺书》所规定的行为，可以直接向甲方审计督查部投诉（电话：15005518562）。</w:t>
      </w:r>
    </w:p>
    <w:p w14:paraId="7668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第七条 本承诺书一式四份，甲乙双方各持两份。</w:t>
      </w:r>
    </w:p>
    <w:p w14:paraId="20ACF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highlight w:val="none"/>
          <w:lang w:val="en-US"/>
        </w:rPr>
      </w:pPr>
    </w:p>
    <w:p w14:paraId="7B662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highlight w:val="none"/>
          <w:lang w:val="en-US"/>
        </w:rPr>
      </w:pPr>
    </w:p>
    <w:p w14:paraId="5BB8E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auto"/>
          <w:sz w:val="24"/>
          <w:szCs w:val="24"/>
          <w:highlight w:val="none"/>
          <w:lang w:val="en-US"/>
        </w:rPr>
      </w:pPr>
    </w:p>
    <w:p w14:paraId="11177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甲方单位：（盖章）                   乙方单位：（盖章）</w:t>
      </w:r>
    </w:p>
    <w:p w14:paraId="5AC98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法定代表人：                         法定代表人：</w:t>
      </w:r>
    </w:p>
    <w:p w14:paraId="1796C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法定代表人联系电话：                 法定代表人联系电话：</w:t>
      </w:r>
    </w:p>
    <w:p w14:paraId="5D17F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委托代理人：                         委托代理人：</w:t>
      </w:r>
    </w:p>
    <w:p w14:paraId="1E6F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项目负责人：                         项目负责人：</w:t>
      </w:r>
    </w:p>
    <w:p w14:paraId="15B12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 xml:space="preserve">监督电话：15005518562                监督电话：                                </w:t>
      </w:r>
    </w:p>
    <w:p w14:paraId="79086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4"/>
          <w:szCs w:val="24"/>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监督邮箱：xhjtdc@xinhuaedu.com       监督邮箱：</w:t>
      </w:r>
    </w:p>
    <w:p w14:paraId="48A36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auto"/>
          <w:kern w:val="0"/>
          <w:sz w:val="28"/>
          <w:szCs w:val="28"/>
          <w:highlight w:val="none"/>
          <w:shd w:val="clear" w:color="auto" w:fill="FFFFFF"/>
          <w:lang w:val="en-US"/>
        </w:rPr>
      </w:pPr>
      <w:r>
        <w:rPr>
          <w:rFonts w:hint="eastAsia" w:ascii="仿宋" w:hAnsi="仿宋" w:eastAsia="仿宋" w:cs="仿宋"/>
          <w:color w:val="auto"/>
          <w:kern w:val="0"/>
          <w:sz w:val="24"/>
          <w:szCs w:val="24"/>
          <w:highlight w:val="none"/>
          <w:shd w:val="clear" w:color="auto" w:fill="FFFFFF"/>
          <w:lang w:val="en-US" w:eastAsia="zh-CN" w:bidi="ar"/>
        </w:rPr>
        <w:t xml:space="preserve">          jtdsz@xinhuaedu.com   </w:t>
      </w:r>
      <w:r>
        <w:rPr>
          <w:rFonts w:hint="eastAsia" w:ascii="仿宋" w:hAnsi="仿宋" w:eastAsia="仿宋" w:cs="仿宋"/>
          <w:color w:val="auto"/>
          <w:kern w:val="0"/>
          <w:sz w:val="28"/>
          <w:szCs w:val="28"/>
          <w:highlight w:val="none"/>
          <w:shd w:val="clear" w:color="auto" w:fill="FFFFFF"/>
          <w:lang w:val="en-US" w:eastAsia="zh-CN" w:bidi="ar"/>
        </w:rPr>
        <w:t xml:space="preserve">       </w:t>
      </w:r>
    </w:p>
    <w:p w14:paraId="39D1282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auto"/>
          <w:kern w:val="0"/>
          <w:sz w:val="28"/>
          <w:szCs w:val="28"/>
          <w:highlight w:val="none"/>
          <w:shd w:val="clear" w:color="auto" w:fill="FFFFFF"/>
          <w:lang w:val="en-US"/>
        </w:rPr>
      </w:pPr>
    </w:p>
    <w:p w14:paraId="55B3140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auto"/>
          <w:kern w:val="0"/>
          <w:sz w:val="28"/>
          <w:szCs w:val="28"/>
          <w:highlight w:val="none"/>
          <w:shd w:val="clear" w:color="auto" w:fill="FFFFFF"/>
          <w:lang w:val="en-US"/>
        </w:rPr>
      </w:pPr>
    </w:p>
    <w:p w14:paraId="13E010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highlight w:val="none"/>
          <w:shd w:val="clear" w:color="auto" w:fill="FFFFFF"/>
          <w:lang w:val="en-US" w:eastAsia="zh-CN" w:bidi="ar"/>
        </w:rPr>
      </w:pPr>
    </w:p>
    <w:p w14:paraId="5CE0903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highlight w:val="none"/>
          <w:shd w:val="clear" w:color="auto" w:fill="FFFFFF"/>
          <w:lang w:val="en-US" w:eastAsia="zh-CN" w:bidi="ar"/>
        </w:rPr>
      </w:pPr>
      <w:bookmarkStart w:id="0" w:name="_GoBack"/>
      <w:bookmarkEnd w:id="0"/>
    </w:p>
    <w:p w14:paraId="1E5AB48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auto"/>
          <w:kern w:val="0"/>
          <w:sz w:val="28"/>
          <w:szCs w:val="28"/>
          <w:highlight w:val="none"/>
          <w:shd w:val="clear" w:color="auto" w:fill="FFFFFF"/>
          <w:lang w:val="en-US"/>
        </w:rPr>
      </w:pPr>
      <w:r>
        <w:rPr>
          <w:rFonts w:hint="eastAsia" w:ascii="仿宋" w:hAnsi="仿宋" w:eastAsia="仿宋" w:cs="仿宋"/>
          <w:b/>
          <w:bCs/>
          <w:color w:val="auto"/>
          <w:kern w:val="0"/>
          <w:sz w:val="28"/>
          <w:szCs w:val="28"/>
          <w:highlight w:val="none"/>
          <w:shd w:val="clear" w:color="auto" w:fill="FFFFFF"/>
          <w:lang w:val="en-US" w:eastAsia="zh-CN" w:bidi="ar"/>
        </w:rPr>
        <w:t>附件二</w:t>
      </w:r>
    </w:p>
    <w:p w14:paraId="2F6BBA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auto"/>
          <w:kern w:val="0"/>
          <w:sz w:val="32"/>
          <w:szCs w:val="32"/>
          <w:highlight w:val="none"/>
          <w:shd w:val="clear" w:color="auto" w:fill="FFFFFF"/>
          <w:lang w:val="en-US"/>
        </w:rPr>
      </w:pPr>
      <w:r>
        <w:rPr>
          <w:rFonts w:hint="eastAsia" w:ascii="仿宋" w:hAnsi="仿宋" w:eastAsia="仿宋" w:cs="仿宋"/>
          <w:b/>
          <w:bCs/>
          <w:color w:val="auto"/>
          <w:kern w:val="0"/>
          <w:sz w:val="32"/>
          <w:szCs w:val="32"/>
          <w:highlight w:val="none"/>
          <w:shd w:val="clear" w:color="auto" w:fill="FFFFFF"/>
          <w:lang w:val="en-US" w:eastAsia="zh-CN" w:bidi="ar"/>
        </w:rPr>
        <w:t>保证承诺书</w:t>
      </w:r>
    </w:p>
    <w:p w14:paraId="62F4586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kern w:val="2"/>
          <w:sz w:val="28"/>
          <w:szCs w:val="28"/>
          <w:highlight w:val="none"/>
          <w:lang w:val="en-US" w:eastAsia="zh-CN" w:bidi="ar"/>
        </w:rPr>
        <w:t>致</w:t>
      </w:r>
      <w:r>
        <w:rPr>
          <w:rFonts w:hint="eastAsia" w:ascii="仿宋" w:hAnsi="仿宋" w:eastAsia="仿宋" w:cs="仿宋"/>
          <w:b/>
          <w:bCs/>
          <w:color w:val="auto"/>
          <w:kern w:val="2"/>
          <w:sz w:val="28"/>
          <w:szCs w:val="28"/>
          <w:highlight w:val="none"/>
          <w:u w:val="single"/>
          <w:lang w:val="en-US" w:eastAsia="zh-CN" w:bidi="ar"/>
        </w:rPr>
        <w:t>安徽医科大学临床医学院</w:t>
      </w:r>
      <w:r>
        <w:rPr>
          <w:rFonts w:hint="eastAsia" w:ascii="仿宋" w:hAnsi="仿宋" w:eastAsia="仿宋" w:cs="仿宋"/>
          <w:b/>
          <w:bCs/>
          <w:color w:val="auto"/>
          <w:kern w:val="2"/>
          <w:sz w:val="28"/>
          <w:szCs w:val="28"/>
          <w:highlight w:val="none"/>
          <w:lang w:val="en-US" w:eastAsia="zh-CN" w:bidi="ar"/>
        </w:rPr>
        <w:t>：</w:t>
      </w:r>
    </w:p>
    <w:p w14:paraId="0AF4B5E2">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 xml:space="preserve"> 保证人***，身份证号码***，系***公司法定代表人/项目负责人。现保证人针对***公司与</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提供不可撤销的连带保证责任担保，并向</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郑重承诺：</w:t>
      </w:r>
    </w:p>
    <w:p w14:paraId="7456FFA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保证范围</w:t>
      </w:r>
      <w:r>
        <w:rPr>
          <w:rFonts w:hint="eastAsia" w:ascii="仿宋" w:hAnsi="仿宋" w:eastAsia="仿宋" w:cs="仿宋"/>
          <w:color w:val="auto"/>
          <w:kern w:val="2"/>
          <w:sz w:val="24"/>
          <w:szCs w:val="24"/>
          <w:highlight w:val="none"/>
          <w:lang w:val="en-US" w:eastAsia="zh-CN" w:bidi="ar"/>
        </w:rPr>
        <w:t>。保证人的保证范围，为主合同项下***公司对</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应承担的全部责任、义务、债务等，以及</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为实现债权而支付的各项费用（包括但不限于诉讼费/仲裁费、财产保全费、财产保全服务费、律师费、差旅费、公证费、执行费、公告费等费用）。</w:t>
      </w:r>
    </w:p>
    <w:p w14:paraId="75D1256E">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 xml:space="preserve"> 二、保证期间。</w:t>
      </w:r>
      <w:r>
        <w:rPr>
          <w:rFonts w:hint="eastAsia" w:ascii="仿宋" w:hAnsi="仿宋" w:eastAsia="仿宋" w:cs="仿宋"/>
          <w:color w:val="auto"/>
          <w:kern w:val="2"/>
          <w:sz w:val="24"/>
          <w:szCs w:val="24"/>
          <w:highlight w:val="none"/>
          <w:lang w:val="en-US" w:eastAsia="zh-CN" w:bidi="ar"/>
        </w:rPr>
        <w:t>保证人的保证期间，为***公司在主合同项下债务履行期限届满后三年；若主合同项下的债务约定分期履行的，则保证期间至***公司在主合同项下最后一期债务履行期限届满后三年。</w:t>
      </w:r>
    </w:p>
    <w:p w14:paraId="56C68EB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三、保证方式。</w:t>
      </w:r>
      <w:r>
        <w:rPr>
          <w:rFonts w:hint="eastAsia" w:ascii="仿宋" w:hAnsi="仿宋" w:eastAsia="仿宋" w:cs="仿宋"/>
          <w:color w:val="auto"/>
          <w:kern w:val="2"/>
          <w:sz w:val="24"/>
          <w:szCs w:val="24"/>
          <w:highlight w:val="none"/>
          <w:lang w:val="en-US" w:eastAsia="zh-CN" w:bidi="ar"/>
        </w:rPr>
        <w:t>保证人承担独立的、不可撤销的、连带责任保证担保。任何情况下，不因主合同无效、撤销等等而影响本承诺书的效力。</w:t>
      </w:r>
    </w:p>
    <w:p w14:paraId="4854772A">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四、保证人承诺，无论</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color w:val="auto"/>
          <w:kern w:val="2"/>
          <w:sz w:val="24"/>
          <w:szCs w:val="24"/>
          <w:highlight w:val="none"/>
          <w:u w:val="single"/>
          <w:lang w:val="en-US" w:eastAsia="zh-CN" w:bidi="ar"/>
        </w:rPr>
        <w:t>安徽医科大学临床医学院</w:t>
      </w:r>
      <w:r>
        <w:rPr>
          <w:rFonts w:hint="eastAsia" w:ascii="仿宋" w:hAnsi="仿宋" w:eastAsia="仿宋" w:cs="仿宋"/>
          <w:color w:val="auto"/>
          <w:kern w:val="2"/>
          <w:sz w:val="24"/>
          <w:szCs w:val="24"/>
          <w:highlight w:val="none"/>
          <w:lang w:val="en-US" w:eastAsia="zh-CN" w:bidi="ar"/>
        </w:rPr>
        <w:t>均可直接要求保证人依照本承诺书约定承担保证责任，保证人不提出任何异议。</w:t>
      </w:r>
    </w:p>
    <w:p w14:paraId="3B7E0596">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 xml:space="preserve">五、保证人是具备完全民事行为能力的自然人，保证人为签订本承诺书提供的所有文件、信息及签字均真实、完整、有效 。 </w:t>
      </w:r>
    </w:p>
    <w:p w14:paraId="59172CE5">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六、保证人已充分理解并全面认可主合同及本承诺书的所有条款内容，并承诺任何情况下不得对其提出任何异议。</w:t>
      </w:r>
    </w:p>
    <w:p w14:paraId="2334CD96">
      <w:pPr>
        <w:pStyle w:val="10"/>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lang w:eastAsia="zh-CN"/>
        </w:rPr>
        <w:t>保证人：</w:t>
      </w:r>
    </w:p>
    <w:p w14:paraId="145168A4">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
        </w:rPr>
        <w:t xml:space="preserve">                                   日期：</w:t>
      </w:r>
    </w:p>
    <w:p w14:paraId="62DFE7AA">
      <w:pPr>
        <w:pStyle w:val="6"/>
        <w:keepNext w:val="0"/>
        <w:keepLines w:val="0"/>
        <w:pageBreakBefore w:val="0"/>
        <w:kinsoku/>
        <w:wordWrap/>
        <w:overflowPunct/>
        <w:topLinePunct w:val="0"/>
        <w:autoSpaceDE/>
        <w:autoSpaceDN/>
        <w:bidi w:val="0"/>
        <w:spacing w:line="440" w:lineRule="exact"/>
        <w:rPr>
          <w:rFonts w:hint="eastAsia" w:ascii="仿宋" w:hAnsi="仿宋" w:eastAsia="仿宋" w:cs="仿宋"/>
          <w:color w:val="auto"/>
          <w:highlight w:val="none"/>
          <w:lang w:val="en-US" w:eastAsia="zh-CN"/>
        </w:rPr>
      </w:pPr>
    </w:p>
    <w:p w14:paraId="30BF9D5C">
      <w:pPr>
        <w:pStyle w:val="7"/>
        <w:ind w:left="0" w:lef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附件三</w:t>
      </w:r>
    </w:p>
    <w:p w14:paraId="5C1307DA">
      <w:pPr>
        <w:pStyle w:val="7"/>
        <w:ind w:left="0" w:leftChars="0" w:firstLine="0" w:firstLineChars="0"/>
        <w:jc w:val="left"/>
        <w:rPr>
          <w:rFonts w:hint="eastAsia" w:ascii="宋体" w:hAnsi="宋体" w:cs="宋体" w:eastAsiaTheme="minorEastAsia"/>
          <w:b/>
          <w:bCs/>
          <w:color w:val="auto"/>
          <w:sz w:val="28"/>
          <w:szCs w:val="28"/>
          <w:highlight w:val="none"/>
          <w:u w:val="none"/>
          <w:shd w:val="clear" w:color="auto" w:fill="FFFFFF"/>
          <w:lang w:val="en-US" w:eastAsia="zh-CN"/>
        </w:rPr>
      </w:pPr>
      <w:r>
        <w:rPr>
          <w:rFonts w:hint="eastAsia" w:ascii="宋体" w:hAnsi="宋体" w:cs="宋体" w:eastAsiaTheme="minorEastAsia"/>
          <w:b/>
          <w:bCs/>
          <w:color w:val="auto"/>
          <w:sz w:val="28"/>
          <w:szCs w:val="28"/>
          <w:highlight w:val="none"/>
          <w:u w:val="none"/>
          <w:shd w:val="clear" w:color="auto" w:fill="FFFFFF"/>
          <w:lang w:val="en-US" w:eastAsia="zh-CN"/>
        </w:rPr>
        <w:t>安徽医科大学临床医学院图书馆朗读亭、书画台采购项目需求表</w:t>
      </w:r>
    </w:p>
    <w:p w14:paraId="0888BEA0">
      <w:pPr>
        <w:pStyle w:val="7"/>
        <w:ind w:left="0" w:leftChars="0" w:firstLine="0" w:firstLineChars="0"/>
        <w:jc w:val="center"/>
        <w:rPr>
          <w:rFonts w:hint="eastAsia" w:ascii="宋体" w:hAnsi="宋体" w:cs="宋体" w:eastAsiaTheme="minorEastAsia"/>
          <w:b/>
          <w:bCs/>
          <w:color w:val="auto"/>
          <w:sz w:val="28"/>
          <w:szCs w:val="28"/>
          <w:highlight w:val="none"/>
          <w:u w:val="none"/>
          <w:shd w:val="clear" w:color="auto" w:fill="FFFFFF"/>
          <w:lang w:val="en-US" w:eastAsia="zh-CN"/>
        </w:rPr>
      </w:pPr>
      <w:r>
        <w:rPr>
          <w:rFonts w:hint="eastAsia" w:ascii="宋体" w:hAnsi="宋体" w:cs="宋体" w:eastAsiaTheme="minorEastAsia"/>
          <w:b/>
          <w:bCs/>
          <w:color w:val="auto"/>
          <w:sz w:val="28"/>
          <w:szCs w:val="28"/>
          <w:highlight w:val="none"/>
          <w:u w:val="none"/>
          <w:shd w:val="clear" w:color="auto" w:fill="FFFFFF"/>
          <w:lang w:val="en-US" w:eastAsia="zh-CN"/>
        </w:rPr>
        <w:t>（报价表</w:t>
      </w:r>
      <w:r>
        <w:rPr>
          <w:rFonts w:hint="eastAsia" w:ascii="仿宋" w:hAnsi="仿宋" w:eastAsia="仿宋" w:cs="仿宋"/>
          <w:b/>
          <w:bCs/>
          <w:color w:val="auto"/>
          <w:spacing w:val="0"/>
          <w:sz w:val="30"/>
          <w:szCs w:val="30"/>
          <w:highlight w:val="none"/>
          <w:u w:val="none"/>
          <w:shd w:val="clear" w:color="auto" w:fill="FFFFFF"/>
          <w:lang w:val="en-US" w:eastAsia="zh-CN"/>
        </w:rPr>
        <w:t>）</w:t>
      </w:r>
    </w:p>
    <w:tbl>
      <w:tblPr>
        <w:tblStyle w:val="8"/>
        <w:tblW w:w="10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808"/>
        <w:gridCol w:w="777"/>
        <w:gridCol w:w="1826"/>
        <w:gridCol w:w="681"/>
        <w:gridCol w:w="732"/>
        <w:gridCol w:w="1185"/>
        <w:gridCol w:w="1246"/>
        <w:gridCol w:w="1153"/>
      </w:tblGrid>
      <w:tr w14:paraId="4A8F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74FA51">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序号</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52C07">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设备名称</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651FB">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品牌</w:t>
            </w: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17608">
            <w:pPr>
              <w:spacing w:before="100" w:beforeAutospacing="1" w:after="100" w:afterAutospacing="1" w:line="360" w:lineRule="exact"/>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规格型号</w:t>
            </w: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9CD87">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单位</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43DF7">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数量</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35A6F">
            <w:pPr>
              <w:spacing w:before="100" w:beforeAutospacing="1" w:after="100" w:afterAutospacing="1" w:line="360" w:lineRule="exact"/>
              <w:jc w:val="center"/>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单价</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color w:val="auto"/>
                <w:sz w:val="21"/>
                <w:szCs w:val="21"/>
                <w:highlight w:val="none"/>
              </w:rPr>
              <w:t>元</w:t>
            </w:r>
            <w:r>
              <w:rPr>
                <w:rFonts w:hint="eastAsia" w:ascii="仿宋" w:hAnsi="仿宋" w:eastAsia="仿宋" w:cs="仿宋"/>
                <w:b w:val="0"/>
                <w:bCs w:val="0"/>
                <w:color w:val="auto"/>
                <w:sz w:val="21"/>
                <w:szCs w:val="21"/>
                <w:highlight w:val="none"/>
                <w:lang w:eastAsia="zh-CN"/>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E86FF">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总价</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color w:val="auto"/>
                <w:sz w:val="21"/>
                <w:szCs w:val="21"/>
                <w:highlight w:val="none"/>
              </w:rPr>
              <w:t>元</w:t>
            </w:r>
            <w:r>
              <w:rPr>
                <w:rFonts w:hint="eastAsia" w:ascii="仿宋" w:hAnsi="仿宋" w:eastAsia="仿宋" w:cs="仿宋"/>
                <w:b w:val="0"/>
                <w:bCs w:val="0"/>
                <w:color w:val="auto"/>
                <w:sz w:val="21"/>
                <w:szCs w:val="21"/>
                <w:highlight w:val="none"/>
                <w:lang w:eastAsia="zh-CN"/>
              </w:rPr>
              <w:t>）</w:t>
            </w:r>
          </w:p>
        </w:tc>
        <w:tc>
          <w:tcPr>
            <w:tcW w:w="11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82A5B">
            <w:pPr>
              <w:spacing w:before="100" w:beforeAutospacing="1" w:after="100" w:afterAutospacing="1" w:line="360" w:lineRule="exact"/>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备注</w:t>
            </w:r>
          </w:p>
        </w:tc>
      </w:tr>
      <w:tr w14:paraId="2274C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6F640">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1</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19645">
            <w:pPr>
              <w:keepNext w:val="0"/>
              <w:keepLines w:val="0"/>
              <w:widowControl/>
              <w:suppressLineNumbers w:val="0"/>
              <w:spacing w:before="100" w:beforeAutospacing="1" w:after="100" w:afterAutospacing="1"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
              </w:rPr>
              <w:t>朗读亭</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DE21B">
            <w:pPr>
              <w:keepNext w:val="0"/>
              <w:keepLines w:val="0"/>
              <w:pageBreakBefore w:val="0"/>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outlineLvl w:val="9"/>
              <w:rPr>
                <w:rFonts w:hint="eastAsia" w:ascii="仿宋" w:hAnsi="仿宋" w:eastAsia="仿宋" w:cs="仿宋"/>
                <w:color w:val="auto"/>
                <w:kern w:val="2"/>
                <w:sz w:val="21"/>
                <w:szCs w:val="21"/>
                <w:highlight w:val="none"/>
                <w:lang w:val="en-US" w:eastAsia="zh-CN" w:bidi="ar-SA"/>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DCCFC">
            <w:pPr>
              <w:spacing w:before="100" w:beforeAutospacing="1" w:after="100" w:afterAutospacing="1" w:line="360" w:lineRule="exact"/>
              <w:jc w:val="center"/>
              <w:rPr>
                <w:rFonts w:hint="eastAsia" w:ascii="仿宋" w:hAnsi="仿宋" w:eastAsia="仿宋" w:cs="仿宋"/>
                <w:bCs w:val="0"/>
                <w:color w:val="auto"/>
                <w:kern w:val="2"/>
                <w:sz w:val="21"/>
                <w:szCs w:val="21"/>
                <w:highlight w:val="none"/>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ED62">
            <w:pPr>
              <w:spacing w:before="100" w:beforeAutospacing="1" w:after="100" w:afterAutospacing="1" w:line="360" w:lineRule="exact"/>
              <w:jc w:val="center"/>
              <w:rPr>
                <w:rFonts w:hint="eastAsia" w:ascii="仿宋" w:hAnsi="仿宋" w:eastAsia="仿宋" w:cs="仿宋"/>
                <w:bCs w:val="0"/>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371E3">
            <w:pPr>
              <w:spacing w:before="100" w:beforeAutospacing="1" w:after="100" w:afterAutospacing="1" w:line="360" w:lineRule="exact"/>
              <w:jc w:val="center"/>
              <w:rPr>
                <w:rFonts w:hint="eastAsia" w:ascii="仿宋" w:hAnsi="仿宋" w:eastAsia="仿宋" w:cs="仿宋"/>
                <w:bCs w:val="0"/>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EF363">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9AD96A9">
            <w:pPr>
              <w:spacing w:before="100" w:beforeAutospacing="1" w:after="100" w:afterAutospacing="1" w:line="360" w:lineRule="exact"/>
              <w:jc w:val="center"/>
              <w:rPr>
                <w:rFonts w:hint="eastAsia" w:ascii="仿宋" w:hAnsi="仿宋" w:eastAsia="仿宋" w:cs="仿宋"/>
                <w:b w:val="0"/>
                <w:bCs w:val="0"/>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A7190DC">
            <w:pPr>
              <w:spacing w:before="100" w:beforeAutospacing="1" w:after="100" w:afterAutospacing="1" w:line="360" w:lineRule="exact"/>
              <w:jc w:val="center"/>
              <w:rPr>
                <w:rFonts w:hint="eastAsia" w:ascii="仿宋" w:hAnsi="仿宋" w:eastAsia="仿宋" w:cs="仿宋"/>
                <w:b w:val="0"/>
                <w:bCs w:val="0"/>
                <w:color w:val="auto"/>
                <w:sz w:val="21"/>
                <w:szCs w:val="21"/>
                <w:highlight w:val="none"/>
              </w:rPr>
            </w:pPr>
          </w:p>
        </w:tc>
      </w:tr>
      <w:tr w14:paraId="4ACCF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2FBD">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2</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BFA04">
            <w:pPr>
              <w:keepNext w:val="0"/>
              <w:keepLines w:val="0"/>
              <w:widowControl/>
              <w:suppressLineNumbers w:val="0"/>
              <w:spacing w:before="100" w:beforeAutospacing="1" w:after="100" w:afterAutospacing="1" w:line="36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
              </w:rPr>
              <w:t>书画台</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26C67">
            <w:pPr>
              <w:keepNext w:val="0"/>
              <w:keepLines w:val="0"/>
              <w:pageBreakBefore w:val="0"/>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outlineLvl w:val="9"/>
              <w:rPr>
                <w:rFonts w:hint="eastAsia" w:ascii="仿宋" w:hAnsi="仿宋" w:eastAsia="仿宋" w:cs="仿宋"/>
                <w:color w:val="auto"/>
                <w:kern w:val="2"/>
                <w:sz w:val="21"/>
                <w:szCs w:val="21"/>
                <w:highlight w:val="none"/>
                <w:lang w:val="en-US" w:eastAsia="zh-CN" w:bidi="ar-SA"/>
              </w:rPr>
            </w:pPr>
          </w:p>
        </w:tc>
        <w:tc>
          <w:tcPr>
            <w:tcW w:w="1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C75CD">
            <w:pPr>
              <w:spacing w:before="100" w:beforeAutospacing="1" w:after="100" w:afterAutospacing="1" w:line="360" w:lineRule="exact"/>
              <w:jc w:val="center"/>
              <w:rPr>
                <w:rFonts w:hint="eastAsia" w:ascii="仿宋" w:hAnsi="仿宋" w:eastAsia="仿宋" w:cs="仿宋"/>
                <w:bCs w:val="0"/>
                <w:color w:val="auto"/>
                <w:kern w:val="2"/>
                <w:sz w:val="21"/>
                <w:szCs w:val="21"/>
                <w:highlight w:val="none"/>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65309">
            <w:pPr>
              <w:spacing w:before="100" w:beforeAutospacing="1" w:after="100" w:afterAutospacing="1"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组</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81DC5">
            <w:pPr>
              <w:spacing w:before="100" w:beforeAutospacing="1" w:after="100" w:afterAutospacing="1" w:line="3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B7849">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AE86EDC">
            <w:pPr>
              <w:spacing w:before="100" w:beforeAutospacing="1" w:after="100" w:afterAutospacing="1" w:line="360" w:lineRule="exact"/>
              <w:jc w:val="center"/>
              <w:rPr>
                <w:rFonts w:hint="eastAsia" w:ascii="仿宋" w:hAnsi="仿宋" w:eastAsia="仿宋" w:cs="仿宋"/>
                <w:b w:val="0"/>
                <w:bCs w:val="0"/>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BCB8135">
            <w:pPr>
              <w:spacing w:before="100" w:beforeAutospacing="1" w:after="100" w:afterAutospacing="1" w:line="360" w:lineRule="exact"/>
              <w:jc w:val="center"/>
              <w:rPr>
                <w:rFonts w:hint="eastAsia" w:ascii="仿宋" w:hAnsi="仿宋" w:eastAsia="仿宋" w:cs="仿宋"/>
                <w:b w:val="0"/>
                <w:bCs w:val="0"/>
                <w:color w:val="auto"/>
                <w:sz w:val="21"/>
                <w:szCs w:val="21"/>
                <w:highlight w:val="none"/>
              </w:rPr>
            </w:pPr>
          </w:p>
        </w:tc>
      </w:tr>
      <w:tr w14:paraId="092B5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59BAD086">
            <w:pPr>
              <w:spacing w:before="100" w:beforeAutospacing="1" w:after="100" w:afterAutospacing="1" w:line="360" w:lineRule="exact"/>
              <w:jc w:val="center"/>
              <w:rPr>
                <w:rFonts w:hint="default" w:ascii="宋体" w:hAnsi="宋体"/>
                <w:b/>
                <w:bCs w:val="0"/>
                <w:color w:val="000000"/>
                <w:sz w:val="20"/>
                <w:szCs w:val="20"/>
                <w:highlight w:val="none"/>
                <w:lang w:val="en-US" w:eastAsia="zh-CN"/>
              </w:rPr>
            </w:pPr>
            <w:r>
              <w:rPr>
                <w:rFonts w:hint="eastAsia" w:ascii="宋体" w:hAnsi="宋体"/>
                <w:b/>
                <w:bCs w:val="0"/>
                <w:color w:val="000000"/>
                <w:sz w:val="20"/>
                <w:szCs w:val="20"/>
                <w:highlight w:val="none"/>
                <w:lang w:val="en-US" w:eastAsia="zh-CN"/>
              </w:rPr>
              <w:t>供货安装周期</w:t>
            </w:r>
          </w:p>
        </w:tc>
        <w:tc>
          <w:tcPr>
            <w:tcW w:w="7600" w:type="dxa"/>
            <w:gridSpan w:val="7"/>
            <w:tcBorders>
              <w:top w:val="single" w:color="auto" w:sz="4" w:space="0"/>
              <w:left w:val="single" w:color="auto" w:sz="4" w:space="0"/>
              <w:bottom w:val="single" w:color="auto" w:sz="4" w:space="0"/>
              <w:right w:val="single" w:color="auto" w:sz="4" w:space="0"/>
            </w:tcBorders>
            <w:noWrap w:val="0"/>
            <w:vAlign w:val="center"/>
          </w:tcPr>
          <w:p w14:paraId="4D596343">
            <w:pPr>
              <w:spacing w:before="100" w:beforeAutospacing="1" w:after="100" w:afterAutospacing="1" w:line="360" w:lineRule="exact"/>
              <w:jc w:val="center"/>
              <w:rPr>
                <w:rFonts w:hint="eastAsia" w:ascii="仿宋" w:hAnsi="仿宋" w:eastAsia="仿宋" w:cs="仿宋"/>
                <w:b w:val="0"/>
                <w:color w:val="auto"/>
                <w:szCs w:val="21"/>
                <w:highlight w:val="none"/>
                <w:lang w:val="en-US" w:eastAsia="zh-CN"/>
              </w:rPr>
            </w:pPr>
            <w:r>
              <w:rPr>
                <w:rFonts w:hint="eastAsia" w:ascii="仿宋" w:hAnsi="仿宋" w:eastAsia="仿宋" w:cs="仿宋"/>
                <w:b w:val="0"/>
                <w:color w:val="auto"/>
                <w:szCs w:val="21"/>
                <w:highlight w:val="none"/>
                <w:lang w:val="en-US" w:eastAsia="zh-CN"/>
              </w:rPr>
              <w:t>天</w:t>
            </w:r>
          </w:p>
        </w:tc>
      </w:tr>
      <w:tr w14:paraId="20698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29136BAA">
            <w:pPr>
              <w:spacing w:before="100" w:beforeAutospacing="1" w:after="100" w:afterAutospacing="1" w:line="360" w:lineRule="exact"/>
              <w:jc w:val="center"/>
              <w:rPr>
                <w:rFonts w:hint="default" w:ascii="宋体" w:hAnsi="宋体"/>
                <w:b/>
                <w:bCs w:val="0"/>
                <w:color w:val="000000"/>
                <w:sz w:val="20"/>
                <w:szCs w:val="20"/>
                <w:highlight w:val="none"/>
                <w:lang w:val="en-US" w:eastAsia="zh-CN"/>
              </w:rPr>
            </w:pPr>
            <w:r>
              <w:rPr>
                <w:rFonts w:hint="eastAsia" w:ascii="宋体" w:hAnsi="宋体"/>
                <w:b/>
                <w:bCs w:val="0"/>
                <w:color w:val="000000"/>
                <w:sz w:val="20"/>
                <w:szCs w:val="20"/>
                <w:highlight w:val="none"/>
                <w:lang w:val="en-US" w:eastAsia="zh-CN"/>
              </w:rPr>
              <w:t>免费质保期</w:t>
            </w:r>
          </w:p>
        </w:tc>
        <w:tc>
          <w:tcPr>
            <w:tcW w:w="7600" w:type="dxa"/>
            <w:gridSpan w:val="7"/>
            <w:tcBorders>
              <w:top w:val="single" w:color="auto" w:sz="4" w:space="0"/>
              <w:left w:val="single" w:color="auto" w:sz="4" w:space="0"/>
              <w:bottom w:val="single" w:color="auto" w:sz="4" w:space="0"/>
              <w:right w:val="single" w:color="auto" w:sz="4" w:space="0"/>
            </w:tcBorders>
            <w:noWrap w:val="0"/>
            <w:vAlign w:val="center"/>
          </w:tcPr>
          <w:p w14:paraId="504DF8FC">
            <w:pPr>
              <w:spacing w:before="100" w:beforeAutospacing="1" w:after="100" w:afterAutospacing="1" w:line="360" w:lineRule="exact"/>
              <w:jc w:val="center"/>
              <w:rPr>
                <w:rFonts w:hint="default" w:ascii="仿宋" w:hAnsi="仿宋" w:eastAsia="仿宋" w:cs="仿宋"/>
                <w:b w:val="0"/>
                <w:color w:val="auto"/>
                <w:szCs w:val="21"/>
                <w:highlight w:val="none"/>
                <w:lang w:val="en-US" w:eastAsia="zh-CN"/>
              </w:rPr>
            </w:pPr>
            <w:r>
              <w:rPr>
                <w:rFonts w:hint="eastAsia" w:ascii="仿宋" w:hAnsi="仿宋" w:eastAsia="仿宋" w:cs="仿宋"/>
                <w:b w:val="0"/>
                <w:color w:val="auto"/>
                <w:szCs w:val="21"/>
                <w:highlight w:val="none"/>
                <w:lang w:val="en-US" w:eastAsia="zh-CN"/>
              </w:rPr>
              <w:t>年</w:t>
            </w:r>
          </w:p>
        </w:tc>
      </w:tr>
      <w:tr w14:paraId="6EC3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0080" w:type="dxa"/>
            <w:gridSpan w:val="9"/>
            <w:tcBorders>
              <w:top w:val="single" w:color="auto" w:sz="4" w:space="0"/>
              <w:left w:val="single" w:color="auto" w:sz="4" w:space="0"/>
              <w:bottom w:val="single" w:color="auto" w:sz="4" w:space="0"/>
              <w:right w:val="single" w:color="auto" w:sz="4" w:space="0"/>
            </w:tcBorders>
            <w:noWrap w:val="0"/>
            <w:vAlign w:val="center"/>
          </w:tcPr>
          <w:p w14:paraId="19D8B48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注：</w:t>
            </w:r>
          </w:p>
          <w:p w14:paraId="1AD2C3B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1.项目为交钥匙工程，包括但不限于货物、运费、安装调试、售后质保、税金等。</w:t>
            </w:r>
          </w:p>
          <w:p w14:paraId="63B7F114">
            <w:pPr>
              <w:spacing w:before="0" w:beforeAutospacing="0" w:after="0" w:afterAutospacing="0" w:line="240" w:lineRule="auto"/>
              <w:jc w:val="left"/>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2.技术参数作为参考，原则上不低于招标参数。</w:t>
            </w:r>
          </w:p>
          <w:p w14:paraId="45354719">
            <w:pPr>
              <w:spacing w:before="0" w:beforeAutospacing="0" w:after="0" w:afterAutospacing="0" w:line="240" w:lineRule="auto"/>
              <w:jc w:val="left"/>
              <w:outlineLvl w:val="9"/>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3.操作界面简单方便使用，中标单位提供培训服务，直至使用人员具备独立操作能力。</w:t>
            </w:r>
          </w:p>
          <w:p w14:paraId="36E17D58">
            <w:pPr>
              <w:spacing w:before="0" w:beforeAutospacing="0" w:after="0" w:afterAutospacing="0" w:line="240" w:lineRule="auto"/>
              <w:jc w:val="left"/>
              <w:outlineLvl w:val="9"/>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4.以上产品以采购方最终需求量据实结算。</w:t>
            </w:r>
          </w:p>
        </w:tc>
      </w:tr>
    </w:tbl>
    <w:p w14:paraId="7AE41C8E">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22247501">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015B666E">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63AB8191">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12AAE5C8">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774FDA21">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354F25F1">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4E46B223">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1D609A68">
      <w:pPr>
        <w:pStyle w:val="7"/>
        <w:ind w:left="0" w:leftChars="0" w:firstLine="0" w:firstLineChars="0"/>
        <w:rPr>
          <w:rFonts w:hint="eastAsia" w:ascii="仿宋" w:hAnsi="仿宋" w:eastAsia="仿宋" w:cs="仿宋"/>
          <w:b/>
          <w:bCs/>
          <w:color w:val="auto"/>
          <w:sz w:val="28"/>
          <w:szCs w:val="28"/>
          <w:highlight w:val="none"/>
          <w:shd w:val="clear" w:color="auto" w:fill="FFFFFF"/>
          <w:lang w:val="en-US" w:eastAsia="zh-CN"/>
        </w:rPr>
      </w:pPr>
    </w:p>
    <w:p w14:paraId="4B4F4152">
      <w:pPr>
        <w:pStyle w:val="7"/>
        <w:ind w:left="0" w:leftChars="0" w:firstLine="0" w:firstLineChars="0"/>
        <w:rPr>
          <w:rFonts w:hint="eastAsia" w:ascii="宋体" w:hAnsi="宋体" w:cs="宋体"/>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lang w:val="en-US" w:eastAsia="zh-CN"/>
        </w:rPr>
        <w:t>附件四</w:t>
      </w:r>
      <w:r>
        <w:rPr>
          <w:rFonts w:hint="eastAsia" w:ascii="仿宋" w:hAnsi="仿宋" w:eastAsia="仿宋" w:cs="仿宋"/>
          <w:b/>
          <w:bCs/>
          <w:color w:val="auto"/>
          <w:sz w:val="28"/>
          <w:szCs w:val="28"/>
          <w:highlight w:val="none"/>
          <w:shd w:val="clear" w:color="auto" w:fill="FFFFFF"/>
        </w:rPr>
        <w:t> </w:t>
      </w:r>
      <w:r>
        <w:rPr>
          <w:rFonts w:hint="eastAsia" w:ascii="宋体" w:hAnsi="宋体" w:cs="宋体"/>
          <w:color w:val="auto"/>
          <w:sz w:val="28"/>
          <w:szCs w:val="28"/>
          <w:highlight w:val="none"/>
          <w:shd w:val="clear" w:color="auto" w:fill="FFFFFF"/>
        </w:rPr>
        <w:t>    </w:t>
      </w:r>
    </w:p>
    <w:p w14:paraId="0F8AFB22">
      <w:pPr>
        <w:pStyle w:val="7"/>
        <w:ind w:left="0" w:leftChars="0" w:firstLine="0" w:firstLineChars="0"/>
        <w:jc w:val="both"/>
        <w:rPr>
          <w:rFonts w:hint="default"/>
          <w:color w:val="auto"/>
          <w:highlight w:val="none"/>
          <w:lang w:val="en-US"/>
        </w:rPr>
      </w:pPr>
      <w:r>
        <w:rPr>
          <w:rFonts w:hint="eastAsia" w:ascii="宋体" w:hAnsi="宋体" w:cs="宋体" w:eastAsiaTheme="minorEastAsia"/>
          <w:b/>
          <w:bCs/>
          <w:color w:val="auto"/>
          <w:sz w:val="28"/>
          <w:szCs w:val="28"/>
          <w:highlight w:val="none"/>
          <w:u w:val="none"/>
          <w:shd w:val="clear" w:color="auto" w:fill="FFFFFF"/>
          <w:lang w:val="en-US" w:eastAsia="zh-CN"/>
        </w:rPr>
        <w:t>安徽医科大学临床医学院图书馆朗读亭、书画台采购项目</w:t>
      </w:r>
      <w:r>
        <w:rPr>
          <w:rFonts w:hint="eastAsia" w:ascii="宋体" w:hAnsi="宋体" w:cs="宋体"/>
          <w:b/>
          <w:bCs/>
          <w:color w:val="auto"/>
          <w:sz w:val="28"/>
          <w:szCs w:val="28"/>
          <w:highlight w:val="none"/>
          <w:shd w:val="clear" w:color="auto" w:fill="FFFFFF"/>
          <w:lang w:val="en-US" w:eastAsia="zh-CN"/>
        </w:rPr>
        <w:t>参数对比表</w:t>
      </w:r>
    </w:p>
    <w:tbl>
      <w:tblPr>
        <w:tblStyle w:val="8"/>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
        <w:gridCol w:w="964"/>
        <w:gridCol w:w="5884"/>
        <w:gridCol w:w="855"/>
        <w:gridCol w:w="1186"/>
        <w:gridCol w:w="1273"/>
      </w:tblGrid>
      <w:tr w14:paraId="4E5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11" w:type="pct"/>
            <w:vMerge w:val="restart"/>
            <w:tcBorders>
              <w:top w:val="single" w:color="000000" w:sz="4" w:space="0"/>
              <w:left w:val="single" w:color="000000" w:sz="4" w:space="0"/>
              <w:right w:val="single" w:color="000000" w:sz="4" w:space="0"/>
            </w:tcBorders>
            <w:noWrap w:val="0"/>
            <w:vAlign w:val="center"/>
          </w:tcPr>
          <w:p w14:paraId="189C2ED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454" w:type="pct"/>
            <w:vMerge w:val="restart"/>
            <w:tcBorders>
              <w:top w:val="single" w:color="000000" w:sz="4" w:space="0"/>
              <w:left w:val="single" w:color="000000" w:sz="4" w:space="0"/>
              <w:right w:val="single" w:color="000000" w:sz="4" w:space="0"/>
            </w:tcBorders>
            <w:noWrap w:val="0"/>
            <w:vAlign w:val="center"/>
          </w:tcPr>
          <w:p w14:paraId="3A1AF37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2772" w:type="pct"/>
            <w:tcBorders>
              <w:top w:val="single" w:color="000000" w:sz="4" w:space="0"/>
              <w:left w:val="single" w:color="000000" w:sz="4" w:space="0"/>
              <w:bottom w:val="single" w:color="000000" w:sz="4" w:space="0"/>
              <w:right w:val="single" w:color="000000" w:sz="4" w:space="0"/>
            </w:tcBorders>
            <w:noWrap w:val="0"/>
            <w:vAlign w:val="center"/>
          </w:tcPr>
          <w:p w14:paraId="1619B325">
            <w:pPr>
              <w:keepNext w:val="0"/>
              <w:keepLines w:val="0"/>
              <w:widowControl/>
              <w:suppressLineNumbers w:val="0"/>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 xml:space="preserve">                     招标需求</w:t>
            </w:r>
          </w:p>
        </w:tc>
        <w:tc>
          <w:tcPr>
            <w:tcW w:w="1561" w:type="pct"/>
            <w:gridSpan w:val="3"/>
            <w:tcBorders>
              <w:top w:val="single" w:color="000000" w:sz="4" w:space="0"/>
              <w:left w:val="single" w:color="000000" w:sz="4" w:space="0"/>
              <w:bottom w:val="single" w:color="000000" w:sz="4" w:space="0"/>
              <w:right w:val="single" w:color="000000" w:sz="4" w:space="0"/>
            </w:tcBorders>
            <w:noWrap w:val="0"/>
            <w:vAlign w:val="center"/>
          </w:tcPr>
          <w:p w14:paraId="1E6758D7">
            <w:pPr>
              <w:keepNext w:val="0"/>
              <w:keepLines w:val="0"/>
              <w:widowControl/>
              <w:suppressLineNumbers w:val="0"/>
              <w:ind w:firstLine="1265" w:firstLineChars="700"/>
              <w:jc w:val="left"/>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投标参数、型号</w:t>
            </w:r>
          </w:p>
        </w:tc>
      </w:tr>
      <w:tr w14:paraId="733E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11" w:type="pct"/>
            <w:vMerge w:val="continue"/>
            <w:tcBorders>
              <w:left w:val="single" w:color="000000" w:sz="4" w:space="0"/>
              <w:bottom w:val="single" w:color="000000" w:sz="4" w:space="0"/>
              <w:right w:val="single" w:color="000000" w:sz="4" w:space="0"/>
            </w:tcBorders>
            <w:noWrap w:val="0"/>
            <w:vAlign w:val="center"/>
          </w:tcPr>
          <w:p w14:paraId="398AD12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c>
          <w:tcPr>
            <w:tcW w:w="454" w:type="pct"/>
            <w:vMerge w:val="continue"/>
            <w:tcBorders>
              <w:left w:val="single" w:color="000000" w:sz="4" w:space="0"/>
              <w:bottom w:val="single" w:color="000000" w:sz="4" w:space="0"/>
              <w:right w:val="single" w:color="000000" w:sz="4" w:space="0"/>
            </w:tcBorders>
            <w:noWrap w:val="0"/>
            <w:vAlign w:val="center"/>
          </w:tcPr>
          <w:p w14:paraId="5B834CEC">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p>
        </w:tc>
        <w:tc>
          <w:tcPr>
            <w:tcW w:w="2772" w:type="pct"/>
            <w:tcBorders>
              <w:top w:val="single" w:color="000000" w:sz="4" w:space="0"/>
              <w:left w:val="single" w:color="000000" w:sz="4" w:space="0"/>
              <w:bottom w:val="single" w:color="000000" w:sz="4" w:space="0"/>
              <w:right w:val="single" w:color="000000" w:sz="4" w:space="0"/>
            </w:tcBorders>
            <w:noWrap w:val="0"/>
            <w:vAlign w:val="center"/>
          </w:tcPr>
          <w:p w14:paraId="5815A92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参考参数</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60D1BD48">
            <w:pPr>
              <w:keepNext w:val="0"/>
              <w:keepLines w:val="0"/>
              <w:widowControl/>
              <w:suppressLineNumbers w:val="0"/>
              <w:ind w:firstLine="0" w:firstLineChars="0"/>
              <w:jc w:val="left"/>
              <w:textAlignment w:val="center"/>
              <w:rPr>
                <w:rFonts w:hint="default"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投标参数</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65445425">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投标品牌、型号</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76070E5">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参数偏离值</w:t>
            </w:r>
          </w:p>
        </w:tc>
      </w:tr>
      <w:tr w14:paraId="4D0E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07921">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3211C">
            <w:pPr>
              <w:keepNext w:val="0"/>
              <w:keepLines w:val="0"/>
              <w:widowControl/>
              <w:suppressLineNumbers w:val="0"/>
              <w:spacing w:before="100" w:beforeAutospacing="1" w:after="100" w:afterAutospacing="1" w:line="36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
              </w:rPr>
              <w:t>朗读亭</w:t>
            </w:r>
          </w:p>
        </w:tc>
        <w:tc>
          <w:tcPr>
            <w:tcW w:w="27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D7AFA">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1.整机尺寸：宽&gt;=1.5m、厚&gt;=1.5m、高度&gt;=2.6m；</w:t>
            </w:r>
          </w:p>
          <w:p w14:paraId="34CAE195">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2.亭身：金属框架，钢化玻璃，亚克力灯牌，木纹内饰，暖色光射灯；</w:t>
            </w:r>
          </w:p>
          <w:p w14:paraId="34224FFF">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3.提词屏：不小于32英寸，分辨率不低于1920x1080；</w:t>
            </w:r>
          </w:p>
          <w:p w14:paraId="7E797870">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4.触控屏：不小于21英寸，分辨率不低于1920x1080；</w:t>
            </w:r>
          </w:p>
          <w:p w14:paraId="1C7801C4">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5.耳机话筒：半开放式耳机1对，电容麦克风1对；</w:t>
            </w:r>
          </w:p>
          <w:p w14:paraId="63FEE29B">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6.门禁：磁吸式门禁，支持刷卡和密码开门方式；</w:t>
            </w:r>
          </w:p>
          <w:p w14:paraId="3BD4D1BC">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7.椅子：高脚靠背椅子2张；</w:t>
            </w:r>
          </w:p>
          <w:p w14:paraId="2A367932">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8.工作电源：220VAC±10%，50HZ±4％，整机功率不高于1200W；                                                                                                                              主板                                                                                                                                                                                    1.主板：不低于4核，主频不低于1.8GHz，运行内存不小于2G，支持软硬重启功能；</w:t>
            </w:r>
          </w:p>
          <w:p w14:paraId="721F8AE3">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2.存储：不低于8G，支持扩展；</w:t>
            </w:r>
          </w:p>
          <w:p w14:paraId="1F60BF25">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3.系统：Android系统；</w:t>
            </w:r>
          </w:p>
          <w:p w14:paraId="3CD10513">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4.效果器：双核心DSP架构，USB传输模式；</w:t>
            </w:r>
          </w:p>
          <w:p w14:paraId="234400C5">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5.显示：支持HDMI和VGA双屏异显；</w:t>
            </w:r>
          </w:p>
          <w:p w14:paraId="61354D41">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6.网络：支持有线千兆自适应，无线WIFI支持IEEE 802.11 a/b/g/n 协议。                                                                                                                软件系统                                                                                                                                                                                   1.点播朗读系统：朗读亭在提供朗读、分享、展示、点赞等功能的基础上，支持朗读亭上扫码查看全文以供朗读学习，并提供封面、书名等信息展示；</w:t>
            </w:r>
          </w:p>
          <w:p w14:paraId="6E842D54">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2.作品展示系统：支持朗读音频和朗读文字同时展示，并提供朗读亭设备所在机构名称信息和地理位置，便于引导读者一键导航去朗读亭朗读；</w:t>
            </w:r>
          </w:p>
          <w:p w14:paraId="5B7DCBF1">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3.使用次数和使用时间设置：根据使用场景的不同，用户可设置每天每人的使用次数和使用时长；</w:t>
            </w:r>
          </w:p>
          <w:p w14:paraId="7A09256B">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4.音频封面设置：为了让读者的录音专辑易于分享传播，可由读者自定义音频封面；</w:t>
            </w:r>
          </w:p>
          <w:p w14:paraId="132FBC62">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5.支持中英文模式切换，在中文模式下系统界面和资源优先展示中文朗读资源，在英文模式下系统界面和资源优先展示英文朗读资源；</w:t>
            </w:r>
          </w:p>
          <w:p w14:paraId="5C84818D">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6.全局排行榜：提供所有朗读作品点赞数量、朗读时长、播放数等展示，区域范围可分为全国榜和机构内部榜，时间范围可分为年榜、月榜和周榜；</w:t>
            </w:r>
          </w:p>
          <w:p w14:paraId="4D05B940">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7.搜索点播功能：支持在朗读亭终端搜索和播放本机构其他读者的朗读作品以便相互学习，可在后台设置哪些作品可供搜索查询；</w:t>
            </w:r>
          </w:p>
          <w:p w14:paraId="252B1ACC">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8.朗读亭终端活动报名功能：读者可直接在朗读亭界面报名活动，填写手机号并接收手机验证码以绑定读者身份，同时支持在手机上扫码报名；</w:t>
            </w:r>
          </w:p>
          <w:p w14:paraId="639299AE">
            <w:pPr>
              <w:spacing w:line="280" w:lineRule="exact"/>
              <w:jc w:val="left"/>
              <w:outlineLvl w:val="9"/>
              <w:rPr>
                <w:rFonts w:hint="default" w:ascii="仿宋" w:hAnsi="仿宋" w:eastAsia="仿宋" w:cs="仿宋"/>
                <w:bCs/>
                <w:kern w:val="2"/>
                <w:sz w:val="21"/>
                <w:szCs w:val="21"/>
                <w:highlight w:val="none"/>
                <w:lang w:val="en-US" w:eastAsia="zh-CN" w:bidi="ar-SA"/>
              </w:rPr>
            </w:pPr>
            <w:r>
              <w:rPr>
                <w:rFonts w:hint="default" w:ascii="仿宋" w:hAnsi="仿宋" w:eastAsia="仿宋" w:cs="仿宋"/>
                <w:bCs/>
                <w:kern w:val="2"/>
                <w:sz w:val="21"/>
                <w:szCs w:val="21"/>
                <w:highlight w:val="none"/>
                <w:lang w:val="en-US" w:eastAsia="zh-CN" w:bidi="ar-SA"/>
              </w:rPr>
              <w:t>9.支持免扫码登录：读者可直接进入朗读系统完成作品录制并编辑作品信息，完成作品可在机构管理后台查看，方便没有手机的读者录制作品。</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0253996">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highlight w:val="none"/>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2AB6D2D7">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D6662A7">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highlight w:val="none"/>
                <w:u w:val="none"/>
                <w:lang w:val="en-US" w:eastAsia="zh-CN" w:bidi="ar"/>
              </w:rPr>
            </w:pPr>
          </w:p>
        </w:tc>
      </w:tr>
      <w:tr w14:paraId="6348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EA692">
            <w:pPr>
              <w:spacing w:before="100" w:beforeAutospacing="1" w:after="100" w:afterAutospacing="1" w:line="360" w:lineRule="exact"/>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5BFD8">
            <w:pPr>
              <w:keepNext w:val="0"/>
              <w:keepLines w:val="0"/>
              <w:widowControl/>
              <w:suppressLineNumbers w:val="0"/>
              <w:spacing w:before="100" w:beforeAutospacing="1" w:after="100" w:afterAutospacing="1" w:line="36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u w:val="none"/>
                <w:lang w:val="en-US" w:eastAsia="zh-CN" w:bidi="ar"/>
              </w:rPr>
              <w:t>书画台</w:t>
            </w:r>
          </w:p>
        </w:tc>
        <w:tc>
          <w:tcPr>
            <w:tcW w:w="27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A166C">
            <w:pPr>
              <w:spacing w:line="280" w:lineRule="exact"/>
              <w:jc w:val="left"/>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桌体设计： 专业书法桌人体工学设计，高度可调，通常预留了镇纸位置和毛笔搁置区。</w:t>
            </w:r>
          </w:p>
          <w:p w14:paraId="2FCD04BD">
            <w:pPr>
              <w:spacing w:line="280" w:lineRule="exact"/>
              <w:jc w:val="left"/>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屏幕： 43英寸左右（或更大）4K 防水防尘屏幕。</w:t>
            </w:r>
          </w:p>
          <w:p w14:paraId="21D9C732">
            <w:pPr>
              <w:spacing w:line="280" w:lineRule="exact"/>
              <w:jc w:val="left"/>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感应技术： 电磁共振技术，支持毛笔感应（需使用配套的特制毛笔，无需通电，直接在屏幕上书写）。</w:t>
            </w:r>
          </w:p>
          <w:p w14:paraId="319513FF">
            <w:pPr>
              <w:spacing w:line="280" w:lineRule="exact"/>
              <w:jc w:val="left"/>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内置系统： 内置Android/Windows书法系统，预装历代书法名帖（如兰亭序、九成宫等），支持原帖临摹、字帖对比、AI评分等功能。</w:t>
            </w:r>
          </w:p>
          <w:p w14:paraId="45DA4B0F">
            <w:pPr>
              <w:spacing w:line="280" w:lineRule="exact"/>
              <w:jc w:val="left"/>
              <w:outlineLvl w:val="9"/>
              <w:rPr>
                <w:rFonts w:hint="eastAsia" w:ascii="仿宋" w:hAnsi="仿宋" w:eastAsia="仿宋" w:cs="仿宋"/>
                <w:bCs/>
                <w:sz w:val="21"/>
                <w:szCs w:val="21"/>
                <w:highlight w:val="none"/>
              </w:rPr>
            </w:pPr>
            <w:r>
              <w:rPr>
                <w:rFonts w:hint="eastAsia" w:ascii="仿宋" w:hAnsi="仿宋" w:eastAsia="仿宋" w:cs="仿宋"/>
                <w:bCs/>
                <w:sz w:val="21"/>
                <w:szCs w:val="21"/>
                <w:highlight w:val="none"/>
              </w:rPr>
              <w:t>书写体验： 模拟宣纸效果，支持毛笔笔锋的侧锋、中锋变化。</w:t>
            </w:r>
          </w:p>
          <w:p w14:paraId="297D33E7">
            <w:pPr>
              <w:spacing w:line="280" w:lineRule="exact"/>
              <w:jc w:val="left"/>
              <w:outlineLvl w:val="9"/>
              <w:rPr>
                <w:rFonts w:hint="default" w:ascii="仿宋" w:hAnsi="仿宋" w:eastAsia="仿宋" w:cs="仿宋"/>
                <w:bCs/>
                <w:kern w:val="2"/>
                <w:sz w:val="21"/>
                <w:szCs w:val="21"/>
                <w:highlight w:val="none"/>
                <w:lang w:val="en-US" w:eastAsia="zh-CN" w:bidi="ar-SA"/>
              </w:rPr>
            </w:pPr>
            <w:r>
              <w:rPr>
                <w:rFonts w:hint="eastAsia" w:ascii="仿宋" w:hAnsi="仿宋" w:eastAsia="仿宋" w:cs="仿宋"/>
                <w:bCs/>
                <w:sz w:val="21"/>
                <w:szCs w:val="21"/>
                <w:highlight w:val="none"/>
              </w:rPr>
              <w:t>配备同系列书法椅</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09461C17">
            <w:pPr>
              <w:keepNext w:val="0"/>
              <w:keepLines w:val="0"/>
              <w:widowControl/>
              <w:suppressLineNumbers w:val="0"/>
              <w:ind w:firstLine="420" w:firstLineChars="200"/>
              <w:jc w:val="left"/>
              <w:textAlignment w:val="auto"/>
              <w:rPr>
                <w:rFonts w:hint="eastAsia" w:ascii="仿宋" w:hAnsi="仿宋" w:eastAsia="仿宋" w:cs="仿宋"/>
                <w:b w:val="0"/>
                <w:bCs w:val="0"/>
                <w:i w:val="0"/>
                <w:iCs w:val="0"/>
                <w:color w:val="auto"/>
                <w:kern w:val="2"/>
                <w:sz w:val="21"/>
                <w:szCs w:val="21"/>
                <w:highlight w:val="none"/>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53E6864B">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2F96312">
            <w:pPr>
              <w:keepNext w:val="0"/>
              <w:keepLines w:val="0"/>
              <w:widowControl/>
              <w:suppressLineNumbers w:val="0"/>
              <w:jc w:val="left"/>
              <w:textAlignment w:val="center"/>
              <w:rPr>
                <w:rFonts w:hint="eastAsia" w:ascii="宋体" w:hAnsi="宋体" w:eastAsia="宋体" w:cs="宋体"/>
                <w:b w:val="0"/>
                <w:bCs w:val="0"/>
                <w:i w:val="0"/>
                <w:iCs w:val="0"/>
                <w:color w:val="auto"/>
                <w:kern w:val="0"/>
                <w:sz w:val="15"/>
                <w:szCs w:val="15"/>
                <w:highlight w:val="none"/>
                <w:u w:val="none"/>
                <w:lang w:val="en-US" w:eastAsia="zh-CN" w:bidi="ar"/>
              </w:rPr>
            </w:pPr>
          </w:p>
        </w:tc>
      </w:tr>
    </w:tbl>
    <w:p w14:paraId="542B96BA">
      <w:pPr>
        <w:pStyle w:val="7"/>
        <w:ind w:left="0" w:leftChars="0" w:firstLine="0" w:firstLineChars="0"/>
        <w:rPr>
          <w:rFonts w:hint="default"/>
          <w:color w:val="auto"/>
          <w:highlight w:val="none"/>
          <w:lang w:val="en-US"/>
        </w:rPr>
      </w:pPr>
    </w:p>
    <w:p w14:paraId="7D1D7A6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EA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72A6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72A6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948BE"/>
    <w:rsid w:val="33B9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微软简标宋" w:hAnsi="@微软简标宋" w:eastAsia="@微软简标宋" w:cs="@微软简标宋"/>
      <w:szCs w:val="24"/>
      <w:lang w:val="zh-C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3"/>
    <w:qFormat/>
    <w:uiPriority w:val="0"/>
    <w:pPr>
      <w:ind w:firstLine="420" w:firstLineChars="200"/>
    </w:p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2026-03-27T02:05:00Z</dcterms:created>
  <dc:creator>心若向阳</dc:creator>
  <cp:lastModifiedBy>心若向阳</cp:lastModifiedBy>
  <dcterms:modified xsi:type="dcterms:W3CDTF">2026-03-27T02:06:25Z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A99F0FA68B104374A21FBFD1F6D86EE1_11</vt:lpwstr>
  </property>
  <property fmtid="{D5CDD505-2E9C-101B-9397-08002B2CF9AE}" pid="4" name="KSOTemplateDocerSaveRecord">
    <vt:lpwstr>eyJoZGlkIjoiNWRkZWEwYjc3ZjU0NTk3MTZjMGQwMGQwN2RkMDczMzMiLCJ1c2VySWQiOiI0NDcxMDY1MDAifQ==</vt:lpwstr>
  </property>
</Properties>
</file>