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7FE3C">
      <w:pPr>
        <w:spacing w:line="360" w:lineRule="exact"/>
        <w:rPr>
          <w:rFonts w:hint="eastAsia" w:ascii="宋体" w:hAnsi="宋体"/>
          <w:b/>
          <w:kern w:val="0"/>
          <w:sz w:val="28"/>
          <w:szCs w:val="28"/>
        </w:rPr>
      </w:pPr>
      <w:r>
        <w:rPr>
          <w:rFonts w:hint="eastAsia" w:ascii="宋体" w:hAnsi="宋体"/>
          <w:b/>
          <w:kern w:val="0"/>
          <w:sz w:val="28"/>
          <w:szCs w:val="28"/>
        </w:rPr>
        <w:t>附件一</w:t>
      </w:r>
    </w:p>
    <w:p w14:paraId="4AF36B6A">
      <w:pPr>
        <w:widowControl/>
        <w:spacing w:before="100" w:after="100" w:line="360" w:lineRule="auto"/>
        <w:ind w:right="275" w:rightChars="131"/>
        <w:jc w:val="center"/>
        <w:outlineLvl w:val="0"/>
        <w:rPr>
          <w:rFonts w:hint="eastAsia" w:ascii="宋体" w:hAnsi="宋体"/>
          <w:b/>
          <w:color w:val="000000"/>
          <w:sz w:val="28"/>
          <w:szCs w:val="28"/>
        </w:rPr>
      </w:pPr>
      <w:r>
        <w:rPr>
          <w:rFonts w:hint="eastAsia" w:ascii="宋体" w:hAnsi="宋体"/>
          <w:b/>
          <w:color w:val="000000"/>
          <w:sz w:val="28"/>
          <w:szCs w:val="28"/>
        </w:rPr>
        <w:t>投标主要标准文件格式</w:t>
      </w:r>
    </w:p>
    <w:p w14:paraId="222E8E31">
      <w:pPr>
        <w:spacing w:line="360" w:lineRule="exact"/>
        <w:ind w:left="-1" w:leftChars="-1" w:right="275" w:rightChars="131" w:hanging="1"/>
        <w:jc w:val="center"/>
        <w:rPr>
          <w:rFonts w:hint="eastAsia" w:ascii="宋体" w:hAnsi="宋体"/>
          <w:b/>
          <w:bCs/>
          <w:color w:val="000000"/>
          <w:sz w:val="32"/>
          <w:szCs w:val="32"/>
        </w:rPr>
      </w:pPr>
    </w:p>
    <w:p w14:paraId="03392A6C">
      <w:pPr>
        <w:spacing w:line="360" w:lineRule="exact"/>
        <w:ind w:left="-1" w:leftChars="-1" w:right="275" w:rightChars="131" w:hanging="1"/>
        <w:jc w:val="center"/>
        <w:rPr>
          <w:rFonts w:hint="eastAsia" w:ascii="宋体" w:hAnsi="宋体"/>
          <w:b/>
          <w:bCs/>
          <w:color w:val="000000"/>
          <w:sz w:val="28"/>
          <w:szCs w:val="28"/>
        </w:rPr>
      </w:pPr>
      <w:r>
        <w:rPr>
          <w:rFonts w:hint="eastAsia" w:ascii="宋体" w:hAnsi="宋体"/>
          <w:b/>
          <w:bCs/>
          <w:color w:val="000000"/>
          <w:sz w:val="28"/>
          <w:szCs w:val="28"/>
        </w:rPr>
        <w:t>（一）投标封面格式</w:t>
      </w:r>
    </w:p>
    <w:p w14:paraId="50373871">
      <w:pPr>
        <w:spacing w:line="360" w:lineRule="auto"/>
        <w:ind w:left="-1" w:leftChars="-1" w:right="275" w:rightChars="131" w:hanging="1"/>
        <w:jc w:val="center"/>
        <w:outlineLvl w:val="0"/>
        <w:rPr>
          <w:rFonts w:hint="eastAsia" w:ascii="宋体" w:hAnsi="宋体"/>
          <w:b/>
          <w:bCs/>
          <w:color w:val="000000"/>
          <w:sz w:val="28"/>
          <w:szCs w:val="28"/>
        </w:rPr>
      </w:pPr>
    </w:p>
    <w:p w14:paraId="689A22D7">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sz w:val="28"/>
          <w:szCs w:val="28"/>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14:paraId="78317A15">
      <w:pPr>
        <w:adjustRightInd w:val="0"/>
        <w:snapToGrid w:val="0"/>
        <w:spacing w:before="62" w:beforeLines="20" w:after="62" w:afterLines="20" w:line="540" w:lineRule="exact"/>
        <w:ind w:left="-1" w:leftChars="-1" w:hanging="1"/>
        <w:rPr>
          <w:rFonts w:hint="eastAsia" w:ascii="宋体" w:hAnsi="宋体"/>
          <w:b/>
          <w:color w:val="000000"/>
          <w:sz w:val="28"/>
          <w:szCs w:val="28"/>
        </w:rPr>
      </w:pPr>
    </w:p>
    <w:p w14:paraId="36BBE4B3">
      <w:pPr>
        <w:adjustRightInd w:val="0"/>
        <w:snapToGrid w:val="0"/>
        <w:spacing w:before="62" w:beforeLines="20" w:after="62" w:afterLines="20" w:line="540" w:lineRule="exact"/>
        <w:ind w:left="-1" w:leftChars="-1" w:hanging="1"/>
        <w:rPr>
          <w:rFonts w:hint="eastAsia" w:ascii="宋体" w:hAnsi="宋体"/>
          <w:b/>
          <w:color w:val="000000"/>
          <w:sz w:val="28"/>
          <w:szCs w:val="28"/>
        </w:rPr>
      </w:pPr>
    </w:p>
    <w:p w14:paraId="46062C1D">
      <w:pPr>
        <w:adjustRightInd w:val="0"/>
        <w:snapToGrid w:val="0"/>
        <w:spacing w:before="62" w:beforeLines="20" w:after="62" w:afterLines="20" w:line="540" w:lineRule="exact"/>
        <w:ind w:left="-1" w:leftChars="-1" w:hanging="1"/>
        <w:jc w:val="center"/>
        <w:rPr>
          <w:rFonts w:hint="eastAsia" w:ascii="宋体" w:hAnsi="宋体"/>
          <w:b/>
          <w:bCs/>
          <w:color w:val="000000"/>
          <w:sz w:val="28"/>
          <w:szCs w:val="28"/>
        </w:rPr>
      </w:pPr>
      <w:r>
        <w:rPr>
          <w:rFonts w:hint="eastAsia" w:ascii="宋体" w:hAnsi="宋体"/>
          <w:color w:val="000000"/>
          <w:sz w:val="28"/>
          <w:szCs w:val="28"/>
        </w:rPr>
        <w:t xml:space="preserve"> </w:t>
      </w:r>
      <w:r>
        <w:rPr>
          <w:rFonts w:hint="eastAsia" w:ascii="宋体" w:hAnsi="宋体"/>
          <w:b/>
          <w:bCs/>
          <w:color w:val="000000"/>
          <w:sz w:val="28"/>
          <w:szCs w:val="28"/>
        </w:rPr>
        <w:t>投</w:t>
      </w:r>
    </w:p>
    <w:p w14:paraId="78214BE8">
      <w:pPr>
        <w:adjustRightInd w:val="0"/>
        <w:snapToGrid w:val="0"/>
        <w:spacing w:before="62" w:beforeLines="20" w:after="62" w:afterLines="20" w:line="540" w:lineRule="exact"/>
        <w:ind w:left="-1" w:leftChars="-1" w:hanging="1"/>
        <w:jc w:val="center"/>
        <w:rPr>
          <w:rFonts w:hint="eastAsia" w:ascii="宋体" w:hAnsi="宋体"/>
          <w:b/>
          <w:bCs/>
          <w:color w:val="000000"/>
          <w:sz w:val="28"/>
          <w:szCs w:val="28"/>
        </w:rPr>
      </w:pPr>
      <w:r>
        <w:rPr>
          <w:rFonts w:hint="eastAsia" w:ascii="宋体" w:hAnsi="宋体"/>
          <w:b/>
          <w:bCs/>
          <w:color w:val="000000"/>
          <w:sz w:val="28"/>
          <w:szCs w:val="28"/>
        </w:rPr>
        <w:t xml:space="preserve"> </w:t>
      </w:r>
    </w:p>
    <w:p w14:paraId="1EE298A0">
      <w:pPr>
        <w:adjustRightInd w:val="0"/>
        <w:snapToGrid w:val="0"/>
        <w:spacing w:before="62" w:beforeLines="20" w:after="62" w:afterLines="20" w:line="540" w:lineRule="exact"/>
        <w:ind w:left="-1" w:leftChars="-1" w:hanging="1"/>
        <w:jc w:val="center"/>
        <w:rPr>
          <w:rFonts w:hint="eastAsia" w:ascii="宋体" w:hAnsi="宋体"/>
          <w:b/>
          <w:bCs/>
          <w:color w:val="000000"/>
          <w:sz w:val="28"/>
          <w:szCs w:val="28"/>
        </w:rPr>
      </w:pPr>
      <w:r>
        <w:rPr>
          <w:rFonts w:hint="eastAsia" w:ascii="宋体" w:hAnsi="宋体"/>
          <w:b/>
          <w:bCs/>
          <w:color w:val="000000"/>
          <w:sz w:val="28"/>
          <w:szCs w:val="28"/>
        </w:rPr>
        <w:t xml:space="preserve"> 标</w:t>
      </w:r>
    </w:p>
    <w:p w14:paraId="5ABE3F56">
      <w:pPr>
        <w:adjustRightInd w:val="0"/>
        <w:snapToGrid w:val="0"/>
        <w:spacing w:before="62" w:beforeLines="20" w:after="62" w:afterLines="20" w:line="540" w:lineRule="exact"/>
        <w:ind w:left="-1" w:leftChars="-1" w:hanging="1"/>
        <w:jc w:val="center"/>
        <w:rPr>
          <w:rFonts w:hint="eastAsia" w:ascii="宋体" w:hAnsi="宋体"/>
          <w:b/>
          <w:bCs/>
          <w:color w:val="000000"/>
          <w:sz w:val="28"/>
          <w:szCs w:val="28"/>
        </w:rPr>
      </w:pPr>
      <w:r>
        <w:rPr>
          <w:rFonts w:hint="eastAsia" w:ascii="宋体" w:hAnsi="宋体"/>
          <w:b/>
          <w:bCs/>
          <w:color w:val="000000"/>
          <w:sz w:val="28"/>
          <w:szCs w:val="28"/>
        </w:rPr>
        <w:t xml:space="preserve"> </w:t>
      </w:r>
    </w:p>
    <w:p w14:paraId="5D670280">
      <w:pPr>
        <w:adjustRightInd w:val="0"/>
        <w:snapToGrid w:val="0"/>
        <w:spacing w:before="62" w:beforeLines="20" w:after="62" w:afterLines="20" w:line="540" w:lineRule="exact"/>
        <w:ind w:left="-1" w:leftChars="-1" w:hanging="1"/>
        <w:jc w:val="center"/>
        <w:rPr>
          <w:rFonts w:hint="eastAsia" w:ascii="宋体" w:hAnsi="宋体"/>
          <w:b/>
          <w:bCs/>
          <w:color w:val="000000"/>
          <w:sz w:val="28"/>
          <w:szCs w:val="28"/>
        </w:rPr>
      </w:pPr>
      <w:r>
        <w:rPr>
          <w:rFonts w:hint="eastAsia" w:ascii="宋体" w:hAnsi="宋体"/>
          <w:b/>
          <w:bCs/>
          <w:color w:val="000000"/>
          <w:sz w:val="28"/>
          <w:szCs w:val="28"/>
        </w:rPr>
        <w:t xml:space="preserve"> 文</w:t>
      </w:r>
    </w:p>
    <w:p w14:paraId="3BA24A91">
      <w:pPr>
        <w:adjustRightInd w:val="0"/>
        <w:snapToGrid w:val="0"/>
        <w:spacing w:before="62" w:beforeLines="20" w:after="62" w:afterLines="20" w:line="540" w:lineRule="exact"/>
        <w:ind w:left="-1" w:leftChars="-1" w:hanging="1"/>
        <w:jc w:val="center"/>
        <w:rPr>
          <w:rFonts w:hint="eastAsia" w:ascii="宋体" w:hAnsi="宋体"/>
          <w:b/>
          <w:bCs/>
          <w:color w:val="000000"/>
          <w:sz w:val="28"/>
          <w:szCs w:val="28"/>
        </w:rPr>
      </w:pPr>
      <w:r>
        <w:rPr>
          <w:rFonts w:hint="eastAsia" w:ascii="宋体" w:hAnsi="宋体"/>
          <w:b/>
          <w:bCs/>
          <w:color w:val="000000"/>
          <w:sz w:val="28"/>
          <w:szCs w:val="28"/>
        </w:rPr>
        <w:t xml:space="preserve"> </w:t>
      </w:r>
    </w:p>
    <w:p w14:paraId="0B5491A6">
      <w:pPr>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28"/>
          <w:szCs w:val="28"/>
        </w:rPr>
        <w:t xml:space="preserve"> 件</w:t>
      </w:r>
    </w:p>
    <w:p w14:paraId="2D4683E0">
      <w:pPr>
        <w:adjustRightInd w:val="0"/>
        <w:snapToGrid w:val="0"/>
        <w:spacing w:before="62" w:beforeLines="20" w:after="62" w:afterLines="20" w:line="540" w:lineRule="exact"/>
        <w:ind w:left="-1" w:leftChars="-1" w:hanging="1"/>
        <w:jc w:val="center"/>
        <w:rPr>
          <w:rFonts w:hint="eastAsia" w:ascii="宋体" w:hAnsi="宋体"/>
          <w:color w:val="000000"/>
          <w:sz w:val="28"/>
          <w:szCs w:val="28"/>
        </w:rPr>
      </w:pPr>
    </w:p>
    <w:p w14:paraId="1E1907D2">
      <w:pPr>
        <w:adjustRightInd w:val="0"/>
        <w:snapToGrid w:val="0"/>
        <w:spacing w:before="62" w:beforeLines="20" w:after="62" w:afterLines="20" w:line="540" w:lineRule="exact"/>
        <w:rPr>
          <w:rFonts w:ascii="宋体" w:hAnsi="宋体"/>
          <w:color w:val="000000"/>
          <w:sz w:val="28"/>
          <w:szCs w:val="28"/>
          <w:u w:val="single"/>
        </w:rPr>
      </w:pPr>
      <w:r>
        <w:rPr>
          <w:rFonts w:hint="eastAsia" w:ascii="宋体" w:hAnsi="宋体"/>
          <w:b/>
          <w:bCs/>
          <w:color w:val="000000"/>
          <w:sz w:val="28"/>
          <w:szCs w:val="28"/>
        </w:rPr>
        <w:t>招标编号：</w:t>
      </w:r>
      <w:r>
        <w:rPr>
          <w:rFonts w:hint="eastAsia" w:ascii="宋体" w:hAnsi="宋体"/>
          <w:b/>
          <w:bCs/>
          <w:color w:val="000000"/>
          <w:sz w:val="28"/>
          <w:szCs w:val="28"/>
          <w:u w:val="single"/>
        </w:rPr>
        <w:t xml:space="preserve">                                              </w:t>
      </w:r>
    </w:p>
    <w:p w14:paraId="571FED88">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14:paraId="3B606CA3">
      <w:pPr>
        <w:adjustRightInd w:val="0"/>
        <w:snapToGrid w:val="0"/>
        <w:spacing w:before="62" w:beforeLines="20" w:after="62" w:afterLines="20" w:line="540" w:lineRule="exact"/>
        <w:ind w:left="-1" w:leftChars="-1" w:hanging="1"/>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sz w:val="28"/>
          <w:szCs w:val="28"/>
          <w:u w:val="single"/>
        </w:rPr>
        <w:t xml:space="preserve">商务标/技术标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14:paraId="7D737A25">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14:paraId="42BFDC4B">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14:paraId="4E5A6BFE">
      <w:pPr>
        <w:adjustRightInd w:val="0"/>
        <w:snapToGrid w:val="0"/>
        <w:spacing w:before="62" w:beforeLines="20" w:after="62" w:afterLines="20" w:line="540" w:lineRule="exact"/>
        <w:ind w:left="-1" w:leftChars="-1" w:hanging="1"/>
        <w:rPr>
          <w:rFonts w:hint="eastAsia" w:ascii="宋体" w:hAnsi="宋体"/>
          <w:b/>
          <w:bCs/>
          <w:color w:val="000000"/>
          <w:sz w:val="28"/>
          <w:szCs w:val="28"/>
          <w:u w:val="single"/>
        </w:rPr>
      </w:pPr>
      <w:r>
        <w:rPr>
          <w:rFonts w:hint="eastAsia" w:ascii="宋体" w:hAnsi="宋体"/>
          <w:b/>
          <w:bCs/>
          <w:color w:val="000000"/>
          <w:sz w:val="28"/>
          <w:szCs w:val="28"/>
        </w:rPr>
        <w:t>联系方式：：</w:t>
      </w:r>
      <w:r>
        <w:rPr>
          <w:rFonts w:hint="eastAsia" w:ascii="宋体" w:hAnsi="宋体"/>
          <w:b/>
          <w:bCs/>
          <w:color w:val="000000"/>
          <w:sz w:val="28"/>
          <w:szCs w:val="28"/>
          <w:u w:val="single"/>
        </w:rPr>
        <w:t xml:space="preserve">                                            </w:t>
      </w:r>
    </w:p>
    <w:p w14:paraId="042E390A">
      <w:pPr>
        <w:adjustRightInd w:val="0"/>
        <w:snapToGrid w:val="0"/>
        <w:ind w:left="-2" w:leftChars="-1"/>
        <w:rPr>
          <w:rFonts w:hint="eastAsia" w:ascii="宋体" w:hAnsi="宋体"/>
          <w:b/>
          <w:color w:val="000000"/>
          <w:sz w:val="28"/>
          <w:szCs w:val="28"/>
        </w:rPr>
      </w:pPr>
    </w:p>
    <w:p w14:paraId="3EAD394A">
      <w:pPr>
        <w:adjustRightInd w:val="0"/>
        <w:snapToGrid w:val="0"/>
        <w:spacing w:before="62" w:beforeLines="20" w:after="62" w:afterLines="20" w:line="540" w:lineRule="exact"/>
        <w:ind w:left="-1" w:leftChars="-1" w:hanging="1"/>
        <w:jc w:val="center"/>
        <w:rPr>
          <w:rFonts w:hint="eastAsia" w:ascii="宋体" w:hAnsi="宋体"/>
          <w:b/>
          <w:color w:val="000000"/>
          <w:sz w:val="28"/>
          <w:szCs w:val="28"/>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14:paraId="366F1119">
      <w:pPr>
        <w:spacing w:line="360" w:lineRule="exact"/>
        <w:ind w:left="-1" w:leftChars="-1" w:right="275" w:rightChars="131" w:hanging="1"/>
        <w:jc w:val="center"/>
        <w:rPr>
          <w:rFonts w:hint="eastAsia" w:ascii="宋体" w:hAnsi="宋体"/>
          <w:b/>
          <w:bCs/>
          <w:color w:val="000000"/>
          <w:sz w:val="28"/>
          <w:szCs w:val="28"/>
        </w:rPr>
      </w:pPr>
    </w:p>
    <w:p w14:paraId="7F88118D">
      <w:pPr>
        <w:spacing w:line="360" w:lineRule="exact"/>
        <w:ind w:left="-1" w:leftChars="-1" w:right="275" w:rightChars="131" w:hanging="1"/>
        <w:jc w:val="center"/>
        <w:rPr>
          <w:rFonts w:hint="eastAsia" w:ascii="宋体" w:hAnsi="宋体"/>
          <w:b/>
          <w:bCs/>
          <w:color w:val="000000"/>
          <w:sz w:val="28"/>
          <w:szCs w:val="28"/>
        </w:rPr>
      </w:pPr>
      <w:r>
        <w:rPr>
          <w:rFonts w:hint="eastAsia" w:ascii="宋体" w:hAnsi="宋体"/>
          <w:b/>
          <w:bCs/>
          <w:color w:val="000000"/>
          <w:sz w:val="28"/>
          <w:szCs w:val="28"/>
        </w:rPr>
        <w:t>（二）法定代表人身份证明书</w:t>
      </w:r>
    </w:p>
    <w:p w14:paraId="0CE2A31C">
      <w:pPr>
        <w:spacing w:line="360" w:lineRule="exact"/>
        <w:ind w:left="-1" w:leftChars="-1" w:right="275" w:rightChars="131" w:hanging="1"/>
        <w:jc w:val="center"/>
        <w:rPr>
          <w:rFonts w:hint="eastAsia" w:ascii="宋体" w:hAnsi="宋体"/>
          <w:b/>
          <w:bCs/>
          <w:color w:val="000000"/>
          <w:sz w:val="24"/>
        </w:rPr>
      </w:pPr>
    </w:p>
    <w:p w14:paraId="7687F172">
      <w:pPr>
        <w:spacing w:line="360" w:lineRule="exact"/>
        <w:ind w:left="-1" w:leftChars="-1" w:right="275" w:rightChars="131" w:hanging="1"/>
        <w:jc w:val="center"/>
        <w:rPr>
          <w:rFonts w:hint="eastAsia" w:ascii="宋体" w:hAnsi="宋体"/>
          <w:b/>
          <w:bCs/>
          <w:color w:val="000000"/>
          <w:sz w:val="24"/>
        </w:rPr>
      </w:pPr>
    </w:p>
    <w:p w14:paraId="4C9E618D">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14:paraId="76DC308F">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14:paraId="6E39FA01">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14:paraId="53AECAC7">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4F1F8857">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14:paraId="79D0DDA2">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14:paraId="600D307B">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14:paraId="536A73FC">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14:paraId="074B7482">
      <w:pPr>
        <w:spacing w:line="760" w:lineRule="exact"/>
        <w:ind w:left="-1" w:leftChars="-1" w:right="275" w:rightChars="131" w:hanging="1"/>
        <w:rPr>
          <w:rFonts w:hint="eastAsia" w:ascii="宋体" w:hAnsi="宋体"/>
          <w:color w:val="000000"/>
          <w:sz w:val="24"/>
        </w:rPr>
      </w:pPr>
    </w:p>
    <w:p w14:paraId="27325FB6">
      <w:pPr>
        <w:spacing w:line="760" w:lineRule="exact"/>
        <w:ind w:left="-1" w:leftChars="-1" w:right="275" w:rightChars="131" w:hanging="1"/>
        <w:rPr>
          <w:rFonts w:hint="eastAsia" w:ascii="宋体" w:hAnsi="宋体"/>
          <w:color w:val="000000"/>
          <w:sz w:val="24"/>
        </w:rPr>
      </w:pPr>
    </w:p>
    <w:p w14:paraId="5DB5122E">
      <w:pPr>
        <w:spacing w:line="760" w:lineRule="exact"/>
        <w:ind w:left="-1" w:leftChars="-1" w:right="275" w:rightChars="131" w:hanging="1"/>
        <w:rPr>
          <w:rFonts w:hint="eastAsia" w:ascii="宋体" w:hAnsi="宋体"/>
          <w:color w:val="000000"/>
          <w:sz w:val="24"/>
        </w:rPr>
      </w:pPr>
    </w:p>
    <w:p w14:paraId="7646E158">
      <w:pPr>
        <w:spacing w:line="760" w:lineRule="exact"/>
        <w:ind w:left="-1" w:leftChars="-1" w:right="275" w:rightChars="131" w:hanging="1"/>
        <w:rPr>
          <w:rFonts w:hint="eastAsia" w:ascii="宋体" w:hAnsi="宋体"/>
          <w:color w:val="000000"/>
          <w:sz w:val="24"/>
        </w:rPr>
      </w:pPr>
    </w:p>
    <w:p w14:paraId="48672EA5">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14:paraId="1C4B79A1">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4449D581">
      <w:pPr>
        <w:spacing w:line="560" w:lineRule="exact"/>
        <w:ind w:left="-1" w:leftChars="-1" w:right="275" w:rightChars="131" w:hanging="1"/>
        <w:rPr>
          <w:rFonts w:hint="eastAsia" w:ascii="宋体" w:hAnsi="宋体"/>
          <w:b/>
          <w:bCs/>
          <w:color w:val="000000"/>
          <w:sz w:val="24"/>
        </w:rPr>
      </w:pPr>
    </w:p>
    <w:p w14:paraId="4BE29E0B">
      <w:pPr>
        <w:spacing w:line="560" w:lineRule="exact"/>
        <w:ind w:left="-1" w:leftChars="-1" w:right="275" w:rightChars="131" w:hanging="1"/>
        <w:rPr>
          <w:rFonts w:hint="eastAsia" w:ascii="宋体" w:hAnsi="宋体"/>
          <w:b/>
          <w:bCs/>
          <w:color w:val="000000"/>
          <w:sz w:val="24"/>
        </w:rPr>
      </w:pPr>
    </w:p>
    <w:p w14:paraId="51311306">
      <w:pPr>
        <w:spacing w:line="560" w:lineRule="exact"/>
        <w:ind w:left="-1" w:leftChars="-1" w:right="275" w:rightChars="131" w:hanging="1"/>
        <w:rPr>
          <w:rFonts w:hint="eastAsia" w:ascii="宋体" w:hAnsi="宋体"/>
          <w:b/>
          <w:bCs/>
          <w:color w:val="000000"/>
          <w:sz w:val="24"/>
        </w:rPr>
      </w:pPr>
    </w:p>
    <w:p w14:paraId="32F9F68C">
      <w:pPr>
        <w:spacing w:line="560" w:lineRule="exact"/>
        <w:ind w:left="-1" w:leftChars="-1" w:right="275" w:rightChars="131" w:hanging="1"/>
        <w:rPr>
          <w:rFonts w:hint="eastAsia" w:ascii="宋体" w:hAnsi="宋体"/>
          <w:b/>
          <w:bCs/>
          <w:color w:val="000000"/>
          <w:sz w:val="24"/>
        </w:rPr>
      </w:pPr>
    </w:p>
    <w:p w14:paraId="7DC3FB8F">
      <w:pPr>
        <w:spacing w:line="560" w:lineRule="exact"/>
        <w:ind w:left="-1" w:leftChars="-1" w:right="275" w:rightChars="131" w:hanging="1"/>
        <w:rPr>
          <w:rFonts w:ascii="宋体" w:hAnsi="宋体"/>
          <w:b/>
          <w:bCs/>
          <w:color w:val="000000"/>
          <w:sz w:val="24"/>
        </w:rPr>
        <w:sectPr>
          <w:headerReference r:id="rId3" w:type="default"/>
          <w:footerReference r:id="rId4" w:type="default"/>
          <w:pgSz w:w="11906" w:h="16838"/>
          <w:pgMar w:top="1247" w:right="1134" w:bottom="1247" w:left="1134" w:header="851" w:footer="680" w:gutter="0"/>
          <w:cols w:space="720" w:num="1"/>
          <w:docGrid w:type="lines" w:linePitch="312" w:charSpace="0"/>
        </w:sectPr>
      </w:pPr>
    </w:p>
    <w:p w14:paraId="251904BB">
      <w:pPr>
        <w:tabs>
          <w:tab w:val="left" w:pos="656"/>
          <w:tab w:val="center" w:pos="7231"/>
        </w:tabs>
        <w:jc w:val="center"/>
        <w:textAlignment w:val="center"/>
        <w:rPr>
          <w:rFonts w:ascii="宋体" w:hAnsi="宋体"/>
          <w:b/>
          <w:bCs/>
          <w:sz w:val="28"/>
          <w:szCs w:val="28"/>
        </w:rPr>
      </w:pPr>
      <w:r>
        <w:rPr>
          <w:rFonts w:hint="eastAsia" w:ascii="宋体" w:hAnsi="宋体"/>
          <w:b/>
          <w:sz w:val="28"/>
          <w:szCs w:val="28"/>
        </w:rPr>
        <w:t>（三）</w:t>
      </w:r>
      <w:r>
        <w:rPr>
          <w:rFonts w:hint="eastAsia" w:ascii="宋体" w:hAnsi="宋体"/>
          <w:b/>
          <w:bCs/>
          <w:sz w:val="28"/>
          <w:szCs w:val="28"/>
        </w:rPr>
        <w:t>报价函</w:t>
      </w:r>
    </w:p>
    <w:p w14:paraId="245AE591">
      <w:pPr>
        <w:spacing w:line="480" w:lineRule="auto"/>
        <w:ind w:left="-1" w:leftChars="-1" w:right="275" w:rightChars="131" w:hanging="1"/>
        <w:rPr>
          <w:rFonts w:ascii="宋体" w:hAnsi="宋体"/>
          <w:b/>
          <w:bCs/>
          <w:sz w:val="24"/>
          <w:u w:val="single"/>
        </w:rPr>
      </w:pPr>
      <w:r>
        <w:rPr>
          <w:rFonts w:hint="eastAsia" w:ascii="宋体" w:hAnsi="宋体"/>
          <w:b/>
          <w:bCs/>
          <w:sz w:val="24"/>
        </w:rPr>
        <w:t>致：</w:t>
      </w:r>
      <w:r>
        <w:rPr>
          <w:rFonts w:hint="eastAsia" w:ascii="宋体" w:hAnsi="宋体"/>
          <w:b/>
          <w:bCs/>
          <w:sz w:val="24"/>
          <w:u w:val="single"/>
        </w:rPr>
        <w:t>安徽新华集团投资有限公司采购部</w:t>
      </w:r>
    </w:p>
    <w:p w14:paraId="1C86129E">
      <w:pPr>
        <w:ind w:firstLine="480" w:firstLineChars="200"/>
        <w:rPr>
          <w:rFonts w:ascii="宋体" w:hAnsi="宋体"/>
          <w:sz w:val="24"/>
        </w:rPr>
      </w:pPr>
    </w:p>
    <w:tbl>
      <w:tblPr>
        <w:tblStyle w:val="6"/>
        <w:tblW w:w="14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471"/>
        <w:gridCol w:w="1206"/>
        <w:gridCol w:w="1125"/>
        <w:gridCol w:w="1200"/>
        <w:gridCol w:w="1245"/>
        <w:gridCol w:w="1380"/>
        <w:gridCol w:w="1305"/>
        <w:gridCol w:w="1365"/>
        <w:gridCol w:w="1260"/>
        <w:gridCol w:w="1305"/>
      </w:tblGrid>
      <w:tr w14:paraId="1994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902" w:type="dxa"/>
            <w:gridSpan w:val="2"/>
            <w:noWrap w:val="0"/>
            <w:vAlign w:val="center"/>
          </w:tcPr>
          <w:p w14:paraId="0A28E23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酬金收取</w:t>
            </w:r>
          </w:p>
        </w:tc>
        <w:tc>
          <w:tcPr>
            <w:tcW w:w="11391" w:type="dxa"/>
            <w:gridSpan w:val="9"/>
            <w:noWrap w:val="0"/>
            <w:vAlign w:val="center"/>
          </w:tcPr>
          <w:p w14:paraId="122CEB5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单位工程金额（万元） 费率： </w:t>
            </w:r>
            <w:r>
              <w:rPr>
                <w:rFonts w:hint="eastAsia"/>
                <w:color w:val="auto"/>
                <w:kern w:val="0"/>
                <w:sz w:val="24"/>
                <w:szCs w:val="24"/>
                <w:highlight w:val="none"/>
              </w:rPr>
              <w:t>‰</w:t>
            </w:r>
          </w:p>
        </w:tc>
      </w:tr>
      <w:tr w14:paraId="187B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31" w:type="dxa"/>
            <w:vMerge w:val="restart"/>
            <w:noWrap w:val="0"/>
            <w:vAlign w:val="center"/>
          </w:tcPr>
          <w:p w14:paraId="3D84720A">
            <w:pPr>
              <w:jc w:val="center"/>
              <w:rPr>
                <w:rFonts w:hint="eastAsia" w:ascii="宋体" w:hAnsi="宋体" w:cs="宋体"/>
                <w:color w:val="auto"/>
                <w:sz w:val="24"/>
                <w:szCs w:val="24"/>
                <w:highlight w:val="none"/>
              </w:rPr>
            </w:pPr>
          </w:p>
          <w:p w14:paraId="7DB9458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基本酬金</w:t>
            </w:r>
          </w:p>
        </w:tc>
        <w:tc>
          <w:tcPr>
            <w:tcW w:w="1471" w:type="dxa"/>
            <w:noWrap w:val="0"/>
            <w:vAlign w:val="center"/>
          </w:tcPr>
          <w:p w14:paraId="3A911466">
            <w:pPr>
              <w:jc w:val="center"/>
            </w:pPr>
            <w:r>
              <w:rPr>
                <w:rFonts w:hint="eastAsia" w:ascii="宋体" w:hAnsi="宋体" w:cs="宋体"/>
                <w:color w:val="auto"/>
                <w:sz w:val="24"/>
                <w:szCs w:val="24"/>
                <w:highlight w:val="none"/>
              </w:rPr>
              <w:t>工程类型</w:t>
            </w:r>
          </w:p>
        </w:tc>
        <w:tc>
          <w:tcPr>
            <w:tcW w:w="1206" w:type="dxa"/>
            <w:noWrap w:val="0"/>
            <w:vAlign w:val="center"/>
          </w:tcPr>
          <w:p w14:paraId="4D54F77B">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≤200</w:t>
            </w:r>
          </w:p>
        </w:tc>
        <w:tc>
          <w:tcPr>
            <w:tcW w:w="1125" w:type="dxa"/>
            <w:noWrap w:val="0"/>
            <w:vAlign w:val="center"/>
          </w:tcPr>
          <w:p w14:paraId="6D06DED6">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≤500</w:t>
            </w:r>
          </w:p>
        </w:tc>
        <w:tc>
          <w:tcPr>
            <w:tcW w:w="1200" w:type="dxa"/>
            <w:noWrap w:val="0"/>
            <w:vAlign w:val="center"/>
          </w:tcPr>
          <w:p w14:paraId="45A1AFD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≤1000</w:t>
            </w:r>
          </w:p>
        </w:tc>
        <w:tc>
          <w:tcPr>
            <w:tcW w:w="1245" w:type="dxa"/>
            <w:noWrap w:val="0"/>
            <w:vAlign w:val="center"/>
          </w:tcPr>
          <w:p w14:paraId="4521407D">
            <w:pPr>
              <w:widowControl/>
              <w:spacing w:line="360" w:lineRule="auto"/>
              <w:jc w:val="center"/>
            </w:pPr>
            <w:r>
              <w:rPr>
                <w:rFonts w:hint="eastAsia" w:ascii="宋体" w:hAnsi="宋体" w:cs="宋体"/>
                <w:color w:val="auto"/>
                <w:kern w:val="0"/>
                <w:sz w:val="24"/>
                <w:szCs w:val="24"/>
                <w:highlight w:val="none"/>
              </w:rPr>
              <w:t>≤5000</w:t>
            </w:r>
          </w:p>
        </w:tc>
        <w:tc>
          <w:tcPr>
            <w:tcW w:w="1380" w:type="dxa"/>
            <w:noWrap w:val="0"/>
            <w:vAlign w:val="center"/>
          </w:tcPr>
          <w:p w14:paraId="6958B01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≤10000</w:t>
            </w:r>
          </w:p>
        </w:tc>
        <w:tc>
          <w:tcPr>
            <w:tcW w:w="1305" w:type="dxa"/>
            <w:noWrap w:val="0"/>
            <w:vAlign w:val="center"/>
          </w:tcPr>
          <w:p w14:paraId="68FB3431">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0000</w:t>
            </w:r>
          </w:p>
        </w:tc>
        <w:tc>
          <w:tcPr>
            <w:tcW w:w="1365" w:type="dxa"/>
            <w:noWrap w:val="0"/>
            <w:vAlign w:val="center"/>
          </w:tcPr>
          <w:p w14:paraId="364BD4E4">
            <w:pPr>
              <w:widowControl/>
              <w:spacing w:line="360" w:lineRule="auto"/>
              <w:jc w:val="center"/>
            </w:pPr>
            <w:r>
              <w:rPr>
                <w:rFonts w:hint="eastAsia" w:ascii="宋体" w:hAnsi="宋体" w:cs="宋体"/>
                <w:color w:val="auto"/>
                <w:kern w:val="0"/>
                <w:sz w:val="24"/>
                <w:szCs w:val="24"/>
                <w:highlight w:val="none"/>
              </w:rPr>
              <w:t>≤50000</w:t>
            </w:r>
          </w:p>
        </w:tc>
        <w:tc>
          <w:tcPr>
            <w:tcW w:w="1260" w:type="dxa"/>
            <w:noWrap w:val="0"/>
            <w:vAlign w:val="center"/>
          </w:tcPr>
          <w:p w14:paraId="4033032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75</w:t>
            </w:r>
            <w:r>
              <w:rPr>
                <w:rFonts w:hint="eastAsia" w:ascii="宋体" w:hAnsi="宋体" w:cs="宋体"/>
                <w:color w:val="auto"/>
                <w:kern w:val="0"/>
                <w:sz w:val="24"/>
                <w:szCs w:val="24"/>
                <w:highlight w:val="none"/>
              </w:rPr>
              <w:t>000</w:t>
            </w:r>
          </w:p>
        </w:tc>
        <w:tc>
          <w:tcPr>
            <w:tcW w:w="1305" w:type="dxa"/>
            <w:noWrap w:val="0"/>
            <w:vAlign w:val="center"/>
          </w:tcPr>
          <w:p w14:paraId="1C7C43A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＞75000</w:t>
            </w:r>
          </w:p>
        </w:tc>
      </w:tr>
      <w:tr w14:paraId="5528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31" w:type="dxa"/>
            <w:vMerge w:val="continue"/>
            <w:noWrap w:val="0"/>
            <w:vAlign w:val="center"/>
          </w:tcPr>
          <w:p w14:paraId="335AF70E">
            <w:pPr>
              <w:jc w:val="center"/>
              <w:rPr>
                <w:rFonts w:hint="eastAsia" w:ascii="宋体" w:hAnsi="宋体" w:cs="宋体"/>
                <w:color w:val="auto"/>
                <w:sz w:val="24"/>
                <w:szCs w:val="24"/>
                <w:highlight w:val="none"/>
              </w:rPr>
            </w:pPr>
          </w:p>
        </w:tc>
        <w:tc>
          <w:tcPr>
            <w:tcW w:w="1471" w:type="dxa"/>
            <w:noWrap w:val="0"/>
            <w:vAlign w:val="center"/>
          </w:tcPr>
          <w:p w14:paraId="1CC34AB8">
            <w:pPr>
              <w:jc w:val="center"/>
            </w:pPr>
            <w:r>
              <w:rPr>
                <w:rFonts w:hint="eastAsia" w:ascii="宋体" w:hAnsi="宋体" w:cs="宋体"/>
                <w:color w:val="auto"/>
                <w:kern w:val="2"/>
                <w:sz w:val="24"/>
                <w:szCs w:val="24"/>
                <w:highlight w:val="none"/>
                <w:lang w:val="en-US" w:eastAsia="zh-CN" w:bidi="ar-SA"/>
              </w:rPr>
              <w:t>建筑工程</w:t>
            </w:r>
          </w:p>
        </w:tc>
        <w:tc>
          <w:tcPr>
            <w:tcW w:w="1206" w:type="dxa"/>
            <w:noWrap w:val="0"/>
            <w:vAlign w:val="center"/>
          </w:tcPr>
          <w:p w14:paraId="35AA3083">
            <w:pPr>
              <w:spacing w:line="360" w:lineRule="auto"/>
              <w:jc w:val="center"/>
              <w:rPr>
                <w:rFonts w:hint="default" w:ascii="宋体" w:hAnsi="宋体" w:eastAsia="宋体" w:cs="宋体"/>
                <w:color w:val="auto"/>
                <w:sz w:val="24"/>
                <w:szCs w:val="24"/>
                <w:highlight w:val="none"/>
                <w:lang w:val="en-US" w:eastAsia="zh-CN"/>
              </w:rPr>
            </w:pPr>
          </w:p>
        </w:tc>
        <w:tc>
          <w:tcPr>
            <w:tcW w:w="1125" w:type="dxa"/>
            <w:noWrap w:val="0"/>
            <w:vAlign w:val="center"/>
          </w:tcPr>
          <w:p w14:paraId="42A78698">
            <w:pPr>
              <w:spacing w:line="360" w:lineRule="auto"/>
              <w:jc w:val="both"/>
              <w:rPr>
                <w:rFonts w:hint="default" w:ascii="宋体" w:hAnsi="宋体" w:eastAsia="宋体" w:cs="宋体"/>
                <w:color w:val="auto"/>
                <w:sz w:val="24"/>
                <w:szCs w:val="24"/>
                <w:highlight w:val="none"/>
                <w:lang w:val="en-US" w:eastAsia="zh-CN"/>
              </w:rPr>
            </w:pPr>
          </w:p>
        </w:tc>
        <w:tc>
          <w:tcPr>
            <w:tcW w:w="1200" w:type="dxa"/>
            <w:noWrap w:val="0"/>
            <w:vAlign w:val="center"/>
          </w:tcPr>
          <w:p w14:paraId="7AA2B54F">
            <w:pPr>
              <w:spacing w:line="360" w:lineRule="auto"/>
              <w:jc w:val="both"/>
              <w:rPr>
                <w:rFonts w:hint="default" w:ascii="宋体" w:hAnsi="宋体" w:eastAsia="宋体" w:cs="宋体"/>
                <w:color w:val="auto"/>
                <w:sz w:val="24"/>
                <w:szCs w:val="24"/>
                <w:highlight w:val="none"/>
                <w:lang w:val="en-US" w:eastAsia="zh-CN"/>
              </w:rPr>
            </w:pPr>
          </w:p>
        </w:tc>
        <w:tc>
          <w:tcPr>
            <w:tcW w:w="1245" w:type="dxa"/>
            <w:noWrap w:val="0"/>
            <w:vAlign w:val="center"/>
          </w:tcPr>
          <w:p w14:paraId="3457F1C9">
            <w:pPr>
              <w:spacing w:line="360" w:lineRule="auto"/>
              <w:jc w:val="both"/>
            </w:pPr>
          </w:p>
        </w:tc>
        <w:tc>
          <w:tcPr>
            <w:tcW w:w="1380" w:type="dxa"/>
            <w:noWrap w:val="0"/>
            <w:vAlign w:val="center"/>
          </w:tcPr>
          <w:p w14:paraId="7C6C3342">
            <w:pPr>
              <w:spacing w:line="360" w:lineRule="auto"/>
              <w:jc w:val="both"/>
              <w:rPr>
                <w:rFonts w:hint="default" w:ascii="宋体" w:hAnsi="宋体" w:eastAsia="宋体" w:cs="宋体"/>
                <w:color w:val="auto"/>
                <w:sz w:val="24"/>
                <w:szCs w:val="24"/>
                <w:highlight w:val="none"/>
                <w:lang w:val="en-US" w:eastAsia="zh-CN"/>
              </w:rPr>
            </w:pPr>
          </w:p>
        </w:tc>
        <w:tc>
          <w:tcPr>
            <w:tcW w:w="1305" w:type="dxa"/>
            <w:noWrap w:val="0"/>
            <w:vAlign w:val="center"/>
          </w:tcPr>
          <w:p w14:paraId="2EDA2B25">
            <w:pPr>
              <w:spacing w:line="360" w:lineRule="auto"/>
              <w:jc w:val="both"/>
              <w:rPr>
                <w:rFonts w:hint="default" w:ascii="宋体" w:hAnsi="宋体" w:eastAsia="宋体" w:cs="宋体"/>
                <w:color w:val="auto"/>
                <w:sz w:val="24"/>
                <w:szCs w:val="24"/>
                <w:highlight w:val="none"/>
                <w:lang w:val="en-US" w:eastAsia="zh-CN"/>
              </w:rPr>
            </w:pPr>
          </w:p>
        </w:tc>
        <w:tc>
          <w:tcPr>
            <w:tcW w:w="1365" w:type="dxa"/>
            <w:noWrap w:val="0"/>
            <w:vAlign w:val="center"/>
          </w:tcPr>
          <w:p w14:paraId="7297BC71">
            <w:pPr>
              <w:spacing w:line="360" w:lineRule="auto"/>
              <w:jc w:val="both"/>
            </w:pPr>
          </w:p>
        </w:tc>
        <w:tc>
          <w:tcPr>
            <w:tcW w:w="1260" w:type="dxa"/>
            <w:noWrap w:val="0"/>
            <w:vAlign w:val="center"/>
          </w:tcPr>
          <w:p w14:paraId="6C739352">
            <w:pPr>
              <w:spacing w:line="360" w:lineRule="auto"/>
              <w:jc w:val="both"/>
              <w:rPr>
                <w:rFonts w:hint="default" w:ascii="宋体" w:hAnsi="宋体" w:eastAsia="宋体" w:cs="宋体"/>
                <w:color w:val="auto"/>
                <w:sz w:val="24"/>
                <w:szCs w:val="24"/>
                <w:highlight w:val="none"/>
                <w:lang w:val="en-US" w:eastAsia="zh-CN"/>
              </w:rPr>
            </w:pPr>
          </w:p>
        </w:tc>
        <w:tc>
          <w:tcPr>
            <w:tcW w:w="1305" w:type="dxa"/>
            <w:noWrap w:val="0"/>
            <w:vAlign w:val="center"/>
          </w:tcPr>
          <w:p w14:paraId="142E4222">
            <w:pPr>
              <w:spacing w:line="360" w:lineRule="auto"/>
              <w:jc w:val="both"/>
              <w:rPr>
                <w:rFonts w:hint="default" w:ascii="宋体" w:hAnsi="宋体" w:eastAsia="宋体" w:cs="宋体"/>
                <w:color w:val="auto"/>
                <w:sz w:val="24"/>
                <w:szCs w:val="24"/>
                <w:highlight w:val="none"/>
                <w:lang w:val="en-US" w:eastAsia="zh-CN"/>
              </w:rPr>
            </w:pPr>
          </w:p>
        </w:tc>
      </w:tr>
      <w:tr w14:paraId="7B5A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31" w:type="dxa"/>
            <w:vMerge w:val="continue"/>
            <w:noWrap w:val="0"/>
            <w:vAlign w:val="center"/>
          </w:tcPr>
          <w:p w14:paraId="50EA05CF">
            <w:pPr>
              <w:jc w:val="center"/>
              <w:rPr>
                <w:rFonts w:hint="eastAsia" w:ascii="宋体" w:hAnsi="宋体" w:cs="宋体"/>
                <w:color w:val="auto"/>
                <w:sz w:val="24"/>
                <w:szCs w:val="24"/>
                <w:highlight w:val="none"/>
              </w:rPr>
            </w:pPr>
          </w:p>
        </w:tc>
        <w:tc>
          <w:tcPr>
            <w:tcW w:w="1471" w:type="dxa"/>
            <w:noWrap w:val="0"/>
            <w:vAlign w:val="center"/>
          </w:tcPr>
          <w:p w14:paraId="40768744">
            <w:pPr>
              <w:pStyle w:val="5"/>
              <w:widowControl/>
              <w:adjustRightInd w:val="0"/>
              <w:snapToGrid w:val="0"/>
              <w:spacing w:before="156" w:after="156" w:line="360" w:lineRule="auto"/>
              <w:jc w:val="center"/>
            </w:pPr>
            <w:r>
              <w:rPr>
                <w:rFonts w:hint="eastAsia" w:ascii="宋体" w:hAnsi="宋体" w:cs="宋体"/>
                <w:color w:val="auto"/>
                <w:sz w:val="24"/>
                <w:szCs w:val="24"/>
                <w:highlight w:val="none"/>
              </w:rPr>
              <w:t>安装工程</w:t>
            </w:r>
          </w:p>
        </w:tc>
        <w:tc>
          <w:tcPr>
            <w:tcW w:w="1206" w:type="dxa"/>
            <w:noWrap w:val="0"/>
            <w:vAlign w:val="center"/>
          </w:tcPr>
          <w:p w14:paraId="7CC63E8B">
            <w:pPr>
              <w:spacing w:line="360" w:lineRule="auto"/>
              <w:jc w:val="both"/>
              <w:rPr>
                <w:rFonts w:hint="default" w:ascii="宋体" w:hAnsi="宋体" w:eastAsia="宋体" w:cs="宋体"/>
                <w:color w:val="auto"/>
                <w:sz w:val="24"/>
                <w:szCs w:val="24"/>
                <w:highlight w:val="none"/>
                <w:lang w:val="en-US" w:eastAsia="zh-CN"/>
              </w:rPr>
            </w:pPr>
          </w:p>
        </w:tc>
        <w:tc>
          <w:tcPr>
            <w:tcW w:w="1125" w:type="dxa"/>
            <w:noWrap w:val="0"/>
            <w:vAlign w:val="center"/>
          </w:tcPr>
          <w:p w14:paraId="30559566">
            <w:pPr>
              <w:spacing w:line="360" w:lineRule="auto"/>
              <w:jc w:val="both"/>
              <w:rPr>
                <w:rFonts w:hint="default" w:ascii="宋体" w:hAnsi="宋体" w:eastAsia="宋体" w:cs="宋体"/>
                <w:color w:val="auto"/>
                <w:sz w:val="24"/>
                <w:szCs w:val="24"/>
                <w:highlight w:val="none"/>
                <w:lang w:val="en-US" w:eastAsia="zh-CN"/>
              </w:rPr>
            </w:pPr>
          </w:p>
        </w:tc>
        <w:tc>
          <w:tcPr>
            <w:tcW w:w="1200" w:type="dxa"/>
            <w:noWrap w:val="0"/>
            <w:vAlign w:val="center"/>
          </w:tcPr>
          <w:p w14:paraId="1184D4AD">
            <w:pPr>
              <w:spacing w:line="360" w:lineRule="auto"/>
              <w:jc w:val="both"/>
              <w:rPr>
                <w:rFonts w:hint="default" w:ascii="宋体" w:hAnsi="宋体" w:eastAsia="宋体" w:cs="宋体"/>
                <w:color w:val="auto"/>
                <w:sz w:val="24"/>
                <w:szCs w:val="24"/>
                <w:highlight w:val="none"/>
                <w:lang w:val="en-US" w:eastAsia="zh-CN"/>
              </w:rPr>
            </w:pPr>
          </w:p>
        </w:tc>
        <w:tc>
          <w:tcPr>
            <w:tcW w:w="1245" w:type="dxa"/>
            <w:noWrap w:val="0"/>
            <w:vAlign w:val="center"/>
          </w:tcPr>
          <w:p w14:paraId="27C9D6C0">
            <w:pPr>
              <w:spacing w:line="360" w:lineRule="auto"/>
              <w:jc w:val="both"/>
            </w:pPr>
          </w:p>
        </w:tc>
        <w:tc>
          <w:tcPr>
            <w:tcW w:w="1380" w:type="dxa"/>
            <w:noWrap w:val="0"/>
            <w:vAlign w:val="center"/>
          </w:tcPr>
          <w:p w14:paraId="6C1ABCFC">
            <w:pPr>
              <w:spacing w:line="360" w:lineRule="auto"/>
              <w:jc w:val="both"/>
              <w:rPr>
                <w:rFonts w:hint="default" w:ascii="宋体" w:hAnsi="宋体" w:eastAsia="宋体" w:cs="宋体"/>
                <w:color w:val="auto"/>
                <w:sz w:val="24"/>
                <w:szCs w:val="24"/>
                <w:highlight w:val="none"/>
                <w:lang w:val="en-US" w:eastAsia="zh-CN"/>
              </w:rPr>
            </w:pPr>
          </w:p>
        </w:tc>
        <w:tc>
          <w:tcPr>
            <w:tcW w:w="1305" w:type="dxa"/>
            <w:noWrap w:val="0"/>
            <w:vAlign w:val="center"/>
          </w:tcPr>
          <w:p w14:paraId="7C76FF81">
            <w:pPr>
              <w:spacing w:line="360" w:lineRule="auto"/>
              <w:jc w:val="both"/>
              <w:rPr>
                <w:rFonts w:hint="default" w:ascii="宋体" w:hAnsi="宋体" w:eastAsia="宋体" w:cs="宋体"/>
                <w:color w:val="auto"/>
                <w:sz w:val="24"/>
                <w:szCs w:val="24"/>
                <w:highlight w:val="none"/>
                <w:lang w:val="en-US" w:eastAsia="zh-CN"/>
              </w:rPr>
            </w:pPr>
          </w:p>
        </w:tc>
        <w:tc>
          <w:tcPr>
            <w:tcW w:w="1365" w:type="dxa"/>
            <w:noWrap w:val="0"/>
            <w:vAlign w:val="center"/>
          </w:tcPr>
          <w:p w14:paraId="10C86A3C">
            <w:pPr>
              <w:spacing w:line="360" w:lineRule="auto"/>
              <w:jc w:val="both"/>
            </w:pPr>
          </w:p>
        </w:tc>
        <w:tc>
          <w:tcPr>
            <w:tcW w:w="1260" w:type="dxa"/>
            <w:noWrap w:val="0"/>
            <w:vAlign w:val="center"/>
          </w:tcPr>
          <w:p w14:paraId="69EF96B4">
            <w:pPr>
              <w:spacing w:line="360" w:lineRule="auto"/>
              <w:jc w:val="both"/>
              <w:rPr>
                <w:rFonts w:hint="default" w:ascii="宋体" w:hAnsi="宋体" w:eastAsia="宋体" w:cs="宋体"/>
                <w:color w:val="auto"/>
                <w:sz w:val="24"/>
                <w:szCs w:val="24"/>
                <w:highlight w:val="none"/>
                <w:lang w:val="en-US" w:eastAsia="zh-CN"/>
              </w:rPr>
            </w:pPr>
          </w:p>
        </w:tc>
        <w:tc>
          <w:tcPr>
            <w:tcW w:w="1305" w:type="dxa"/>
            <w:noWrap w:val="0"/>
            <w:vAlign w:val="center"/>
          </w:tcPr>
          <w:p w14:paraId="067FBDAA">
            <w:pPr>
              <w:spacing w:line="360" w:lineRule="auto"/>
              <w:jc w:val="both"/>
              <w:rPr>
                <w:rFonts w:hint="default" w:ascii="宋体" w:hAnsi="宋体" w:eastAsia="宋体" w:cs="宋体"/>
                <w:color w:val="auto"/>
                <w:sz w:val="24"/>
                <w:szCs w:val="24"/>
                <w:highlight w:val="none"/>
                <w:lang w:val="en-US" w:eastAsia="zh-CN"/>
              </w:rPr>
            </w:pPr>
          </w:p>
        </w:tc>
      </w:tr>
      <w:tr w14:paraId="559A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31" w:type="dxa"/>
            <w:noWrap w:val="0"/>
            <w:vAlign w:val="center"/>
          </w:tcPr>
          <w:p w14:paraId="4A740C3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绩效酬金</w:t>
            </w:r>
          </w:p>
        </w:tc>
        <w:tc>
          <w:tcPr>
            <w:tcW w:w="1471" w:type="dxa"/>
            <w:noWrap w:val="0"/>
            <w:vAlign w:val="center"/>
          </w:tcPr>
          <w:p w14:paraId="50978218">
            <w:pPr>
              <w:jc w:val="center"/>
            </w:pPr>
            <w:r>
              <w:rPr>
                <w:rFonts w:hint="eastAsia" w:ascii="宋体" w:hAnsi="宋体" w:cs="宋体"/>
                <w:color w:val="auto"/>
                <w:sz w:val="24"/>
                <w:szCs w:val="24"/>
                <w:highlight w:val="none"/>
              </w:rPr>
              <w:t>审减额（费率%）</w:t>
            </w:r>
          </w:p>
        </w:tc>
        <w:tc>
          <w:tcPr>
            <w:tcW w:w="1206" w:type="dxa"/>
            <w:noWrap w:val="0"/>
            <w:vAlign w:val="center"/>
          </w:tcPr>
          <w:p w14:paraId="5D063C78">
            <w:pPr>
              <w:spacing w:line="360" w:lineRule="auto"/>
              <w:jc w:val="both"/>
              <w:rPr>
                <w:rFonts w:hint="eastAsia" w:ascii="宋体" w:hAnsi="宋体" w:eastAsia="宋体" w:cs="宋体"/>
                <w:color w:val="auto"/>
                <w:sz w:val="24"/>
                <w:szCs w:val="24"/>
                <w:highlight w:val="none"/>
                <w:lang w:val="en-US" w:eastAsia="zh-CN"/>
              </w:rPr>
            </w:pPr>
          </w:p>
        </w:tc>
        <w:tc>
          <w:tcPr>
            <w:tcW w:w="1125" w:type="dxa"/>
            <w:noWrap w:val="0"/>
            <w:vAlign w:val="center"/>
          </w:tcPr>
          <w:p w14:paraId="1E95FE27">
            <w:pPr>
              <w:spacing w:line="360" w:lineRule="auto"/>
              <w:jc w:val="both"/>
              <w:rPr>
                <w:rFonts w:hint="eastAsia" w:ascii="宋体" w:hAnsi="宋体" w:eastAsia="宋体" w:cs="宋体"/>
                <w:color w:val="auto"/>
                <w:sz w:val="24"/>
                <w:szCs w:val="24"/>
                <w:highlight w:val="none"/>
                <w:lang w:val="en-US" w:eastAsia="zh-CN"/>
              </w:rPr>
            </w:pPr>
          </w:p>
        </w:tc>
        <w:tc>
          <w:tcPr>
            <w:tcW w:w="1200" w:type="dxa"/>
            <w:noWrap w:val="0"/>
            <w:vAlign w:val="center"/>
          </w:tcPr>
          <w:p w14:paraId="6C9947D0">
            <w:pPr>
              <w:spacing w:line="360" w:lineRule="auto"/>
              <w:jc w:val="both"/>
              <w:rPr>
                <w:rFonts w:hint="eastAsia" w:ascii="宋体" w:hAnsi="宋体" w:eastAsia="宋体" w:cs="宋体"/>
                <w:color w:val="auto"/>
                <w:sz w:val="24"/>
                <w:szCs w:val="24"/>
                <w:highlight w:val="none"/>
                <w:lang w:val="en-US" w:eastAsia="zh-CN"/>
              </w:rPr>
            </w:pPr>
          </w:p>
        </w:tc>
        <w:tc>
          <w:tcPr>
            <w:tcW w:w="1245" w:type="dxa"/>
            <w:noWrap w:val="0"/>
            <w:vAlign w:val="center"/>
          </w:tcPr>
          <w:p w14:paraId="2CC8F713">
            <w:pPr>
              <w:spacing w:line="360" w:lineRule="auto"/>
              <w:jc w:val="both"/>
            </w:pPr>
          </w:p>
        </w:tc>
        <w:tc>
          <w:tcPr>
            <w:tcW w:w="1380" w:type="dxa"/>
            <w:noWrap w:val="0"/>
            <w:vAlign w:val="center"/>
          </w:tcPr>
          <w:p w14:paraId="28E394F4">
            <w:pPr>
              <w:spacing w:line="360" w:lineRule="auto"/>
              <w:jc w:val="both"/>
              <w:rPr>
                <w:rFonts w:hint="eastAsia" w:ascii="宋体" w:hAnsi="宋体" w:eastAsia="宋体" w:cs="宋体"/>
                <w:color w:val="auto"/>
                <w:sz w:val="24"/>
                <w:szCs w:val="24"/>
                <w:highlight w:val="none"/>
                <w:lang w:val="en-US" w:eastAsia="zh-CN"/>
              </w:rPr>
            </w:pPr>
          </w:p>
        </w:tc>
        <w:tc>
          <w:tcPr>
            <w:tcW w:w="1305" w:type="dxa"/>
            <w:noWrap w:val="0"/>
            <w:vAlign w:val="center"/>
          </w:tcPr>
          <w:p w14:paraId="1F9163CA">
            <w:pPr>
              <w:spacing w:line="360" w:lineRule="auto"/>
              <w:jc w:val="both"/>
              <w:rPr>
                <w:rFonts w:hint="default" w:ascii="宋体" w:hAnsi="宋体" w:eastAsia="宋体" w:cs="宋体"/>
                <w:color w:val="auto"/>
                <w:sz w:val="24"/>
                <w:szCs w:val="24"/>
                <w:highlight w:val="none"/>
                <w:lang w:val="en-US" w:eastAsia="zh-CN"/>
              </w:rPr>
            </w:pPr>
          </w:p>
        </w:tc>
        <w:tc>
          <w:tcPr>
            <w:tcW w:w="1365" w:type="dxa"/>
            <w:noWrap w:val="0"/>
            <w:vAlign w:val="center"/>
          </w:tcPr>
          <w:p w14:paraId="44E5159E">
            <w:pPr>
              <w:spacing w:line="360" w:lineRule="auto"/>
              <w:jc w:val="both"/>
            </w:pPr>
          </w:p>
        </w:tc>
        <w:tc>
          <w:tcPr>
            <w:tcW w:w="1260" w:type="dxa"/>
            <w:noWrap w:val="0"/>
            <w:vAlign w:val="center"/>
          </w:tcPr>
          <w:p w14:paraId="39D418EC">
            <w:pPr>
              <w:spacing w:line="360" w:lineRule="auto"/>
              <w:jc w:val="both"/>
              <w:rPr>
                <w:rFonts w:hint="default" w:ascii="宋体" w:hAnsi="宋体" w:eastAsia="宋体" w:cs="宋体"/>
                <w:color w:val="auto"/>
                <w:sz w:val="24"/>
                <w:szCs w:val="24"/>
                <w:highlight w:val="none"/>
                <w:lang w:val="en-US" w:eastAsia="zh-CN"/>
              </w:rPr>
            </w:pPr>
          </w:p>
        </w:tc>
        <w:tc>
          <w:tcPr>
            <w:tcW w:w="1305" w:type="dxa"/>
            <w:noWrap w:val="0"/>
            <w:vAlign w:val="center"/>
          </w:tcPr>
          <w:p w14:paraId="0477F0FD">
            <w:pPr>
              <w:spacing w:line="360" w:lineRule="auto"/>
              <w:jc w:val="both"/>
              <w:rPr>
                <w:rFonts w:hint="default" w:ascii="宋体" w:hAnsi="宋体" w:eastAsia="宋体" w:cs="宋体"/>
                <w:color w:val="auto"/>
                <w:sz w:val="24"/>
                <w:szCs w:val="24"/>
                <w:highlight w:val="none"/>
                <w:lang w:val="en-US" w:eastAsia="zh-CN"/>
              </w:rPr>
            </w:pPr>
          </w:p>
        </w:tc>
      </w:tr>
    </w:tbl>
    <w:p w14:paraId="26A53BD7">
      <w:pPr>
        <w:jc w:val="left"/>
        <w:rPr>
          <w:rFonts w:ascii="宋体"/>
          <w:b/>
          <w:bCs/>
          <w:color w:val="auto"/>
          <w:sz w:val="24"/>
          <w:szCs w:val="24"/>
          <w:highlight w:val="none"/>
        </w:rPr>
      </w:pP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本收费标准中的</w:t>
      </w:r>
      <w:r>
        <w:rPr>
          <w:rFonts w:hint="eastAsia"/>
          <w:color w:val="auto"/>
          <w:kern w:val="0"/>
          <w:sz w:val="24"/>
          <w:highlight w:val="none"/>
          <w:lang w:eastAsia="zh-CN"/>
        </w:rPr>
        <w:t>“</w:t>
      </w:r>
      <w:r>
        <w:rPr>
          <w:rFonts w:hint="eastAsia" w:ascii="宋体" w:hAnsi="宋体"/>
          <w:color w:val="auto"/>
          <w:kern w:val="0"/>
          <w:sz w:val="24"/>
          <w:highlight w:val="none"/>
        </w:rPr>
        <w:t>建筑工程</w:t>
      </w:r>
      <w:r>
        <w:rPr>
          <w:rFonts w:hint="eastAsia"/>
          <w:color w:val="auto"/>
          <w:kern w:val="0"/>
          <w:sz w:val="24"/>
          <w:highlight w:val="none"/>
          <w:lang w:eastAsia="zh-CN"/>
        </w:rPr>
        <w:t>”</w:t>
      </w:r>
      <w:r>
        <w:rPr>
          <w:rFonts w:hint="eastAsia" w:ascii="宋体" w:hAnsi="宋体"/>
          <w:color w:val="auto"/>
          <w:kern w:val="0"/>
          <w:sz w:val="24"/>
          <w:highlight w:val="none"/>
        </w:rPr>
        <w:t>适用建筑工程及配套的装饰工程、安装工程</w:t>
      </w:r>
      <w:r>
        <w:rPr>
          <w:rFonts w:hint="eastAsia" w:ascii="宋体" w:hAnsi="宋体"/>
          <w:color w:val="auto"/>
          <w:kern w:val="0"/>
          <w:sz w:val="24"/>
          <w:highlight w:val="none"/>
          <w:lang w:eastAsia="zh-CN"/>
        </w:rPr>
        <w:t>；</w:t>
      </w:r>
      <w:r>
        <w:rPr>
          <w:rFonts w:hint="eastAsia" w:ascii="宋体" w:hAnsi="宋体"/>
          <w:color w:val="auto"/>
          <w:kern w:val="0"/>
          <w:sz w:val="24"/>
          <w:highlight w:val="none"/>
        </w:rPr>
        <w:t>市政工程等。</w:t>
      </w:r>
      <w:r>
        <w:rPr>
          <w:rFonts w:hint="eastAsia"/>
          <w:color w:val="auto"/>
          <w:kern w:val="0"/>
          <w:sz w:val="24"/>
          <w:highlight w:val="none"/>
          <w:lang w:eastAsia="zh-CN"/>
        </w:rPr>
        <w:t>“</w:t>
      </w:r>
      <w:r>
        <w:rPr>
          <w:rFonts w:hint="eastAsia" w:ascii="宋体" w:hAnsi="宋体"/>
          <w:color w:val="auto"/>
          <w:kern w:val="0"/>
          <w:sz w:val="24"/>
          <w:highlight w:val="none"/>
        </w:rPr>
        <w:t>安装工程</w:t>
      </w:r>
      <w:r>
        <w:rPr>
          <w:rFonts w:hint="eastAsia"/>
          <w:color w:val="auto"/>
          <w:kern w:val="0"/>
          <w:sz w:val="24"/>
          <w:highlight w:val="none"/>
          <w:lang w:eastAsia="zh-CN"/>
        </w:rPr>
        <w:t>”</w:t>
      </w:r>
      <w:r>
        <w:rPr>
          <w:rFonts w:hint="eastAsia" w:ascii="宋体" w:hAnsi="宋体"/>
          <w:color w:val="auto"/>
          <w:kern w:val="0"/>
          <w:sz w:val="24"/>
          <w:highlight w:val="none"/>
        </w:rPr>
        <w:t>适用单独安装工程、装饰工程（含二次装饰装修）；房屋修缮；园林绿化及仿古建筑工程等。</w:t>
      </w:r>
    </w:p>
    <w:p w14:paraId="1B0381FF">
      <w:pPr>
        <w:ind w:right="275" w:rightChars="131" w:firstLine="10080" w:firstLineChars="4200"/>
        <w:rPr>
          <w:rFonts w:ascii="宋体" w:hAnsi="宋体"/>
          <w:b/>
          <w:sz w:val="24"/>
        </w:rPr>
      </w:pPr>
      <w:r>
        <w:rPr>
          <w:rFonts w:hint="eastAsia" w:ascii="宋体" w:hAnsi="宋体"/>
          <w:b/>
          <w:sz w:val="24"/>
        </w:rPr>
        <w:t>　</w:t>
      </w:r>
    </w:p>
    <w:p w14:paraId="3C7D50CA">
      <w:pPr>
        <w:ind w:right="275" w:rightChars="131" w:firstLine="10461" w:firstLineChars="4359"/>
        <w:rPr>
          <w:rFonts w:ascii="宋体" w:hAnsi="宋体"/>
          <w:b/>
          <w:sz w:val="24"/>
        </w:rPr>
      </w:pPr>
      <w:r>
        <w:rPr>
          <w:rFonts w:hint="eastAsia" w:ascii="宋体" w:hAnsi="宋体"/>
          <w:b/>
          <w:sz w:val="24"/>
        </w:rPr>
        <w:t>单 位（公章）：</w:t>
      </w:r>
    </w:p>
    <w:p w14:paraId="618EC937">
      <w:pPr>
        <w:spacing w:line="560" w:lineRule="exact"/>
        <w:ind w:right="275" w:rightChars="131" w:firstLine="10461" w:firstLineChars="4359"/>
        <w:rPr>
          <w:rFonts w:hint="eastAsia" w:ascii="宋体" w:hAnsi="宋体"/>
          <w:b/>
          <w:bCs/>
          <w:color w:val="000000"/>
          <w:sz w:val="24"/>
        </w:rPr>
      </w:pPr>
      <w:r>
        <w:rPr>
          <w:rFonts w:hint="eastAsia" w:ascii="宋体" w:hAnsi="宋体"/>
          <w:b/>
          <w:sz w:val="24"/>
        </w:rPr>
        <w:t>日 期：</w:t>
      </w:r>
    </w:p>
    <w:p w14:paraId="4B4A3C2A">
      <w:pPr>
        <w:spacing w:line="560" w:lineRule="exact"/>
        <w:ind w:right="275" w:rightChars="131"/>
        <w:rPr>
          <w:rFonts w:ascii="宋体" w:hAnsi="宋体"/>
          <w:b/>
          <w:bCs/>
          <w:color w:val="000000"/>
          <w:sz w:val="24"/>
        </w:rPr>
        <w:sectPr>
          <w:pgSz w:w="16838" w:h="11906" w:orient="landscape"/>
          <w:pgMar w:top="1134" w:right="1247" w:bottom="1134" w:left="1247" w:header="851" w:footer="680" w:gutter="0"/>
          <w:cols w:space="720" w:num="1"/>
          <w:docGrid w:type="linesAndChars" w:linePitch="312" w:charSpace="0"/>
        </w:sectPr>
      </w:pPr>
    </w:p>
    <w:p w14:paraId="565C82B8">
      <w:pPr>
        <w:spacing w:line="560" w:lineRule="exact"/>
        <w:ind w:right="275" w:rightChars="131"/>
        <w:rPr>
          <w:rFonts w:hint="eastAsia" w:ascii="宋体" w:hAnsi="宋体"/>
          <w:b/>
          <w:bCs/>
          <w:color w:val="000000"/>
          <w:sz w:val="24"/>
        </w:rPr>
      </w:pPr>
    </w:p>
    <w:p w14:paraId="49F30846">
      <w:pPr>
        <w:spacing w:line="560" w:lineRule="exact"/>
        <w:ind w:left="-1" w:leftChars="-1" w:right="275" w:rightChars="131" w:hanging="1"/>
        <w:jc w:val="center"/>
        <w:rPr>
          <w:rFonts w:hint="eastAsia" w:ascii="宋体" w:hAnsi="宋体"/>
          <w:b/>
          <w:bCs/>
          <w:color w:val="000000"/>
          <w:sz w:val="28"/>
          <w:szCs w:val="28"/>
        </w:rPr>
      </w:pPr>
      <w:r>
        <w:rPr>
          <w:rFonts w:hint="eastAsia" w:ascii="宋体" w:hAnsi="宋体"/>
          <w:b/>
          <w:bCs/>
          <w:color w:val="000000"/>
          <w:sz w:val="28"/>
          <w:szCs w:val="28"/>
        </w:rPr>
        <w:t>（四）投标授权委托书</w:t>
      </w:r>
    </w:p>
    <w:p w14:paraId="54294D7C">
      <w:pPr>
        <w:spacing w:line="540" w:lineRule="exact"/>
        <w:ind w:left="-1" w:leftChars="-1" w:right="275" w:rightChars="131" w:hanging="1"/>
        <w:rPr>
          <w:rFonts w:hint="eastAsia" w:ascii="宋体" w:hAnsi="宋体"/>
          <w:color w:val="000000"/>
          <w:sz w:val="24"/>
        </w:rPr>
      </w:pPr>
    </w:p>
    <w:p w14:paraId="06471FD1">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14:paraId="7AEA12D7">
      <w:pPr>
        <w:spacing w:line="540" w:lineRule="exact"/>
        <w:ind w:left="-1" w:leftChars="-1" w:right="275" w:rightChars="131" w:hanging="1"/>
        <w:rPr>
          <w:rFonts w:hint="eastAsia" w:ascii="宋体" w:hAnsi="宋体"/>
          <w:color w:val="000000"/>
          <w:sz w:val="24"/>
        </w:rPr>
      </w:pPr>
    </w:p>
    <w:p w14:paraId="4BF1F719">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14:paraId="4E36FDDF">
      <w:pPr>
        <w:spacing w:line="540" w:lineRule="exact"/>
        <w:ind w:left="-1" w:leftChars="-1" w:right="275" w:rightChars="131" w:hanging="1"/>
        <w:rPr>
          <w:rFonts w:hint="eastAsia" w:ascii="宋体" w:hAnsi="宋体"/>
          <w:color w:val="000000"/>
          <w:sz w:val="24"/>
        </w:rPr>
      </w:pPr>
    </w:p>
    <w:p w14:paraId="54254DEA">
      <w:pPr>
        <w:spacing w:line="540" w:lineRule="exact"/>
        <w:ind w:left="-1" w:leftChars="-1" w:right="275" w:rightChars="131" w:hanging="1"/>
        <w:rPr>
          <w:rFonts w:hint="eastAsia" w:ascii="宋体" w:hAnsi="宋体"/>
          <w:color w:val="000000"/>
          <w:sz w:val="24"/>
        </w:rPr>
      </w:pPr>
    </w:p>
    <w:p w14:paraId="4F521CDB">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14:paraId="5E4464B2">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7A160E4E">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14:paraId="29A0814E">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5C8CB30A">
      <w:pPr>
        <w:spacing w:line="540" w:lineRule="exact"/>
        <w:ind w:left="-1" w:leftChars="-1" w:right="275" w:rightChars="131" w:hanging="1"/>
        <w:rPr>
          <w:rFonts w:hint="eastAsia" w:ascii="宋体" w:hAnsi="宋体"/>
          <w:color w:val="000000"/>
          <w:sz w:val="24"/>
          <w:u w:val="single"/>
        </w:rPr>
      </w:pPr>
    </w:p>
    <w:p w14:paraId="0271B7DC">
      <w:pPr>
        <w:spacing w:line="540" w:lineRule="exact"/>
        <w:ind w:left="-1" w:leftChars="-1" w:right="275" w:rightChars="131" w:hanging="1"/>
        <w:jc w:val="right"/>
        <w:rPr>
          <w:rFonts w:hint="eastAsia" w:ascii="宋体" w:hAnsi="宋体"/>
          <w:color w:val="000000"/>
          <w:sz w:val="24"/>
        </w:rPr>
      </w:pPr>
    </w:p>
    <w:p w14:paraId="175BEF2F">
      <w:pPr>
        <w:spacing w:line="540" w:lineRule="exact"/>
        <w:ind w:left="-1" w:leftChars="-1" w:right="275" w:rightChars="131" w:hanging="1"/>
        <w:jc w:val="right"/>
        <w:rPr>
          <w:rFonts w:hint="eastAsia" w:ascii="宋体" w:hAnsi="宋体"/>
          <w:color w:val="000000"/>
          <w:sz w:val="24"/>
        </w:rPr>
      </w:pPr>
    </w:p>
    <w:p w14:paraId="49F19F16">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5A850EE">
      <w:pPr>
        <w:spacing w:line="360" w:lineRule="auto"/>
        <w:ind w:right="275" w:rightChars="131"/>
        <w:rPr>
          <w:rFonts w:hint="eastAsia" w:ascii="宋体" w:hAnsi="宋体"/>
          <w:b/>
          <w:bCs/>
          <w:color w:val="000000"/>
          <w:sz w:val="32"/>
          <w:szCs w:val="32"/>
        </w:rPr>
      </w:pPr>
    </w:p>
    <w:p w14:paraId="5BC44FA8">
      <w:pPr>
        <w:spacing w:line="360" w:lineRule="auto"/>
        <w:ind w:right="275" w:rightChars="131"/>
        <w:rPr>
          <w:rFonts w:hint="eastAsia" w:ascii="宋体" w:hAnsi="宋体"/>
          <w:b/>
          <w:bCs/>
          <w:color w:val="000000"/>
          <w:sz w:val="32"/>
          <w:szCs w:val="32"/>
        </w:rPr>
      </w:pPr>
    </w:p>
    <w:p w14:paraId="28C0EBB2">
      <w:pPr>
        <w:spacing w:line="360" w:lineRule="auto"/>
        <w:ind w:right="275" w:rightChars="131"/>
        <w:rPr>
          <w:rFonts w:hint="eastAsia" w:ascii="宋体" w:hAnsi="宋体"/>
          <w:b/>
          <w:bCs/>
          <w:color w:val="000000"/>
          <w:sz w:val="32"/>
          <w:szCs w:val="32"/>
        </w:rPr>
      </w:pPr>
    </w:p>
    <w:p w14:paraId="4BE1445C">
      <w:pPr>
        <w:spacing w:line="360" w:lineRule="auto"/>
        <w:ind w:right="275" w:rightChars="131"/>
        <w:rPr>
          <w:rFonts w:hint="eastAsia" w:ascii="宋体" w:hAnsi="宋体"/>
          <w:b/>
          <w:bCs/>
          <w:color w:val="000000"/>
          <w:sz w:val="32"/>
          <w:szCs w:val="32"/>
        </w:rPr>
      </w:pPr>
    </w:p>
    <w:p w14:paraId="68BD7721">
      <w:pPr>
        <w:rPr>
          <w:rFonts w:hint="eastAsia" w:ascii="宋体" w:hAnsi="宋体"/>
          <w:b/>
          <w:smallCaps/>
          <w:color w:val="000000"/>
          <w:sz w:val="30"/>
          <w:szCs w:val="30"/>
        </w:rPr>
      </w:pPr>
      <w:bookmarkStart w:id="0" w:name="_Toc171581377"/>
      <w:bookmarkStart w:id="1" w:name="_Toc171742000"/>
      <w:bookmarkStart w:id="2" w:name="_Toc171581557"/>
    </w:p>
    <w:p w14:paraId="0ADE738C">
      <w:pPr>
        <w:rPr>
          <w:rFonts w:hint="eastAsia" w:ascii="宋体" w:hAnsi="宋体"/>
          <w:b/>
          <w:smallCaps/>
          <w:color w:val="000000"/>
          <w:sz w:val="30"/>
          <w:szCs w:val="30"/>
        </w:rPr>
      </w:pPr>
    </w:p>
    <w:p w14:paraId="6CAC11B1">
      <w:pPr>
        <w:jc w:val="center"/>
        <w:rPr>
          <w:rFonts w:hint="eastAsia" w:ascii="宋体" w:hAnsi="宋体"/>
          <w:b/>
          <w:color w:val="000000"/>
          <w:sz w:val="28"/>
          <w:szCs w:val="28"/>
        </w:rPr>
      </w:pPr>
      <w:r>
        <w:rPr>
          <w:rFonts w:hint="eastAsia" w:ascii="宋体" w:hAnsi="宋体"/>
          <w:b/>
          <w:smallCaps/>
          <w:color w:val="000000"/>
          <w:sz w:val="28"/>
          <w:szCs w:val="28"/>
        </w:rPr>
        <w:t>（五）投标</w:t>
      </w:r>
      <w:r>
        <w:rPr>
          <w:rFonts w:hint="eastAsia" w:ascii="宋体" w:hAnsi="宋体"/>
          <w:b/>
          <w:color w:val="000000"/>
          <w:sz w:val="28"/>
          <w:szCs w:val="28"/>
        </w:rPr>
        <w:t>报价需要说明的其他资料</w:t>
      </w:r>
      <w:bookmarkEnd w:id="0"/>
      <w:bookmarkEnd w:id="1"/>
      <w:bookmarkEnd w:id="2"/>
    </w:p>
    <w:p w14:paraId="5C60BF2F">
      <w:pPr>
        <w:ind w:left="-1" w:leftChars="-1" w:hanging="1"/>
        <w:rPr>
          <w:rFonts w:hint="eastAsia" w:ascii="宋体" w:hAnsi="宋体"/>
          <w:color w:val="000000"/>
          <w:sz w:val="24"/>
        </w:rPr>
      </w:pPr>
    </w:p>
    <w:p w14:paraId="2C7FDD9F">
      <w:pPr>
        <w:ind w:left="-1" w:leftChars="-1" w:hanging="1"/>
        <w:rPr>
          <w:rFonts w:hint="eastAsia" w:ascii="宋体" w:hAnsi="宋体"/>
          <w:color w:val="000000"/>
          <w:sz w:val="24"/>
        </w:rPr>
      </w:pPr>
      <w:r>
        <w:rPr>
          <w:rFonts w:hint="eastAsia" w:ascii="宋体" w:hAnsi="宋体"/>
          <w:color w:val="000000"/>
          <w:sz w:val="24"/>
        </w:rPr>
        <w:t>投标单位认为需对其投标报价进行其他补充说明及证明材料。</w:t>
      </w:r>
    </w:p>
    <w:p w14:paraId="41D25BD8">
      <w:pPr>
        <w:ind w:right="275" w:rightChars="131"/>
        <w:rPr>
          <w:rFonts w:hint="eastAsia" w:ascii="宋体" w:hAnsi="宋体"/>
          <w:b/>
          <w:sz w:val="28"/>
          <w:szCs w:val="28"/>
        </w:rPr>
      </w:pPr>
    </w:p>
    <w:p w14:paraId="36AA2933">
      <w:pPr>
        <w:ind w:right="275" w:rightChars="131"/>
        <w:rPr>
          <w:rFonts w:hint="eastAsia" w:ascii="宋体" w:hAnsi="宋体"/>
          <w:b/>
          <w:sz w:val="28"/>
          <w:szCs w:val="28"/>
        </w:rPr>
      </w:pPr>
    </w:p>
    <w:p w14:paraId="4FBDD7CB">
      <w:pPr>
        <w:ind w:right="275" w:rightChars="131"/>
        <w:rPr>
          <w:rFonts w:hint="eastAsia" w:ascii="宋体" w:hAnsi="宋体"/>
          <w:b/>
          <w:sz w:val="28"/>
          <w:szCs w:val="28"/>
        </w:rPr>
      </w:pPr>
    </w:p>
    <w:p w14:paraId="12A63622">
      <w:pPr>
        <w:ind w:right="275" w:rightChars="131"/>
        <w:rPr>
          <w:rFonts w:hint="eastAsia" w:ascii="宋体" w:hAnsi="宋体"/>
          <w:b/>
          <w:sz w:val="28"/>
          <w:szCs w:val="28"/>
        </w:rPr>
      </w:pPr>
    </w:p>
    <w:p w14:paraId="1280A722">
      <w:pPr>
        <w:ind w:right="275" w:rightChars="131"/>
        <w:rPr>
          <w:rFonts w:hint="eastAsia" w:ascii="宋体" w:hAnsi="宋体"/>
          <w:b/>
          <w:sz w:val="28"/>
          <w:szCs w:val="28"/>
        </w:rPr>
      </w:pPr>
    </w:p>
    <w:p w14:paraId="7B303BC3">
      <w:pPr>
        <w:ind w:right="275" w:rightChars="131"/>
        <w:rPr>
          <w:rFonts w:hint="eastAsia" w:ascii="宋体" w:hAnsi="宋体"/>
          <w:b/>
          <w:sz w:val="28"/>
          <w:szCs w:val="28"/>
        </w:rPr>
      </w:pPr>
    </w:p>
    <w:p w14:paraId="47679F61">
      <w:pPr>
        <w:ind w:right="275" w:rightChars="131"/>
        <w:rPr>
          <w:rFonts w:hint="eastAsia" w:ascii="宋体" w:hAnsi="宋体"/>
          <w:b/>
          <w:sz w:val="28"/>
          <w:szCs w:val="28"/>
        </w:rPr>
      </w:pPr>
    </w:p>
    <w:p w14:paraId="4EE2E342">
      <w:pPr>
        <w:ind w:right="275" w:rightChars="131"/>
        <w:rPr>
          <w:rFonts w:hint="eastAsia" w:ascii="宋体" w:hAnsi="宋体"/>
          <w:b/>
          <w:sz w:val="28"/>
          <w:szCs w:val="28"/>
        </w:rPr>
      </w:pPr>
    </w:p>
    <w:p w14:paraId="09CF8305">
      <w:pPr>
        <w:ind w:right="275" w:rightChars="131"/>
        <w:rPr>
          <w:rFonts w:hint="eastAsia" w:ascii="宋体" w:hAnsi="宋体"/>
          <w:b/>
          <w:sz w:val="28"/>
          <w:szCs w:val="28"/>
        </w:rPr>
      </w:pPr>
    </w:p>
    <w:p w14:paraId="2A8EBA6F">
      <w:pPr>
        <w:ind w:right="275" w:rightChars="131"/>
        <w:rPr>
          <w:rFonts w:hint="eastAsia" w:ascii="宋体" w:hAnsi="宋体"/>
          <w:b/>
          <w:sz w:val="28"/>
          <w:szCs w:val="28"/>
        </w:rPr>
      </w:pPr>
    </w:p>
    <w:p w14:paraId="50ECCA85">
      <w:pPr>
        <w:ind w:right="275" w:rightChars="131"/>
        <w:rPr>
          <w:rFonts w:hint="eastAsia" w:ascii="宋体" w:hAnsi="宋体"/>
          <w:b/>
          <w:sz w:val="28"/>
          <w:szCs w:val="28"/>
        </w:rPr>
      </w:pPr>
    </w:p>
    <w:p w14:paraId="314EC8AB">
      <w:pPr>
        <w:ind w:right="275" w:rightChars="131"/>
        <w:rPr>
          <w:rFonts w:hint="eastAsia" w:ascii="宋体" w:hAnsi="宋体"/>
          <w:b/>
          <w:sz w:val="28"/>
          <w:szCs w:val="28"/>
        </w:rPr>
      </w:pPr>
    </w:p>
    <w:p w14:paraId="6BB66DD4">
      <w:pPr>
        <w:ind w:right="275" w:rightChars="131"/>
        <w:rPr>
          <w:rFonts w:hint="eastAsia" w:ascii="宋体" w:hAnsi="宋体"/>
          <w:b/>
          <w:sz w:val="28"/>
          <w:szCs w:val="28"/>
        </w:rPr>
      </w:pPr>
    </w:p>
    <w:p w14:paraId="18EB12D7">
      <w:pPr>
        <w:ind w:right="275" w:rightChars="131"/>
        <w:rPr>
          <w:rFonts w:hint="eastAsia" w:ascii="宋体" w:hAnsi="宋体"/>
          <w:b/>
          <w:sz w:val="28"/>
          <w:szCs w:val="28"/>
        </w:rPr>
      </w:pPr>
    </w:p>
    <w:p w14:paraId="0A6C3D9D">
      <w:pPr>
        <w:ind w:right="275" w:rightChars="131"/>
        <w:rPr>
          <w:rFonts w:hint="eastAsia" w:ascii="宋体" w:hAnsi="宋体"/>
          <w:b/>
          <w:sz w:val="28"/>
          <w:szCs w:val="28"/>
        </w:rPr>
      </w:pPr>
    </w:p>
    <w:p w14:paraId="1565A6AB">
      <w:pPr>
        <w:ind w:right="275" w:rightChars="131"/>
        <w:rPr>
          <w:rFonts w:hint="eastAsia" w:ascii="宋体" w:hAnsi="宋体"/>
          <w:b/>
          <w:sz w:val="28"/>
          <w:szCs w:val="28"/>
        </w:rPr>
      </w:pPr>
    </w:p>
    <w:p w14:paraId="52166820">
      <w:pPr>
        <w:ind w:right="275" w:rightChars="131"/>
        <w:rPr>
          <w:rFonts w:hint="eastAsia" w:ascii="宋体" w:hAnsi="宋体"/>
          <w:b/>
          <w:sz w:val="28"/>
          <w:szCs w:val="28"/>
        </w:rPr>
      </w:pPr>
    </w:p>
    <w:p w14:paraId="6996F27B">
      <w:pPr>
        <w:ind w:right="275" w:rightChars="131"/>
        <w:rPr>
          <w:rFonts w:hint="eastAsia" w:ascii="宋体" w:hAnsi="宋体"/>
          <w:b/>
          <w:sz w:val="28"/>
          <w:szCs w:val="28"/>
        </w:rPr>
      </w:pPr>
    </w:p>
    <w:p w14:paraId="5B6B5198">
      <w:pPr>
        <w:ind w:right="275" w:rightChars="131"/>
        <w:rPr>
          <w:rFonts w:hint="eastAsia" w:ascii="宋体" w:hAnsi="宋体"/>
          <w:b/>
          <w:sz w:val="28"/>
          <w:szCs w:val="28"/>
        </w:rPr>
      </w:pPr>
    </w:p>
    <w:p w14:paraId="4E8B3DFB">
      <w:pPr>
        <w:ind w:right="275" w:rightChars="131"/>
        <w:rPr>
          <w:rFonts w:ascii="宋体" w:hAnsi="宋体"/>
          <w:b/>
          <w:sz w:val="28"/>
          <w:szCs w:val="28"/>
        </w:rPr>
      </w:pPr>
      <w:r>
        <w:rPr>
          <w:rFonts w:hint="eastAsia" w:ascii="宋体" w:hAnsi="宋体"/>
          <w:b/>
          <w:sz w:val="28"/>
          <w:szCs w:val="28"/>
        </w:rPr>
        <w:t>附件二</w:t>
      </w:r>
      <w:r>
        <w:rPr>
          <w:rFonts w:hint="eastAsia" w:ascii="宋体" w:hAnsi="宋体"/>
          <w:b/>
          <w:sz w:val="28"/>
          <w:szCs w:val="28"/>
          <w:lang w:val="en-US" w:eastAsia="zh-CN"/>
        </w:rPr>
        <w:t xml:space="preserve">                 </w:t>
      </w:r>
      <w:r>
        <w:rPr>
          <w:rFonts w:hint="eastAsia" w:ascii="宋体" w:hAnsi="宋体"/>
          <w:b/>
          <w:sz w:val="28"/>
          <w:szCs w:val="28"/>
        </w:rPr>
        <w:t>合同主要条款</w:t>
      </w:r>
    </w:p>
    <w:p w14:paraId="6DBB7041">
      <w:pPr>
        <w:spacing w:line="360" w:lineRule="auto"/>
        <w:jc w:val="center"/>
        <w:rPr>
          <w:rFonts w:ascii="宋体"/>
          <w:b/>
          <w:bCs/>
          <w:color w:val="auto"/>
          <w:kern w:val="44"/>
          <w:sz w:val="28"/>
          <w:szCs w:val="28"/>
          <w:highlight w:val="none"/>
        </w:rPr>
      </w:pPr>
      <w:r>
        <w:rPr>
          <w:rFonts w:hint="eastAsia" w:ascii="宋体" w:hAnsi="宋体" w:cs="宋体"/>
          <w:b/>
          <w:bCs/>
          <w:color w:val="auto"/>
          <w:kern w:val="44"/>
          <w:sz w:val="28"/>
          <w:szCs w:val="28"/>
          <w:highlight w:val="none"/>
        </w:rPr>
        <w:t>第一部分</w:t>
      </w:r>
      <w:r>
        <w:rPr>
          <w:rFonts w:ascii="宋体" w:hAnsi="宋体" w:cs="宋体"/>
          <w:b/>
          <w:bCs/>
          <w:color w:val="auto"/>
          <w:kern w:val="44"/>
          <w:sz w:val="28"/>
          <w:szCs w:val="28"/>
          <w:highlight w:val="none"/>
        </w:rPr>
        <w:t xml:space="preserve">  </w:t>
      </w:r>
      <w:r>
        <w:rPr>
          <w:rFonts w:hint="eastAsia" w:ascii="宋体" w:hAnsi="宋体" w:cs="宋体"/>
          <w:b/>
          <w:bCs/>
          <w:color w:val="auto"/>
          <w:kern w:val="44"/>
          <w:sz w:val="28"/>
          <w:szCs w:val="28"/>
          <w:highlight w:val="none"/>
        </w:rPr>
        <w:t>合同协议书</w:t>
      </w:r>
    </w:p>
    <w:p w14:paraId="19EA107B">
      <w:pPr>
        <w:spacing w:line="360" w:lineRule="auto"/>
        <w:rPr>
          <w:rFonts w:ascii="宋体"/>
          <w:color w:val="auto"/>
          <w:sz w:val="24"/>
          <w:szCs w:val="24"/>
          <w:highlight w:val="none"/>
        </w:rPr>
      </w:pPr>
    </w:p>
    <w:p w14:paraId="207465D7">
      <w:pPr>
        <w:adjustRightInd w:val="0"/>
        <w:snapToGrid w:val="0"/>
        <w:spacing w:line="360" w:lineRule="auto"/>
        <w:jc w:val="left"/>
        <w:rPr>
          <w:rFonts w:hint="eastAsia" w:ascii="MingLiU_HKSCS" w:hAnsi="MingLiU_HKSCS" w:cs="MingLiU_HKSCS"/>
          <w:color w:val="auto"/>
          <w:sz w:val="24"/>
          <w:szCs w:val="24"/>
          <w:highlight w:val="none"/>
          <w:u w:val="single"/>
        </w:rPr>
      </w:pPr>
      <w:r>
        <w:rPr>
          <w:rFonts w:hint="eastAsia" w:ascii="宋体" w:hAnsi="宋体" w:cs="宋体"/>
          <w:b/>
          <w:bCs/>
          <w:color w:val="auto"/>
          <w:sz w:val="24"/>
          <w:szCs w:val="24"/>
          <w:highlight w:val="none"/>
        </w:rPr>
        <w:t>委托人（甲方）：</w:t>
      </w:r>
      <w:r>
        <w:rPr>
          <w:rFonts w:ascii="MingLiU_HKSCS" w:hAnsi="MingLiU_HKSCS" w:cs="MingLiU_HKSCS"/>
          <w:b/>
          <w:bCs/>
          <w:color w:val="auto"/>
          <w:sz w:val="24"/>
          <w:szCs w:val="24"/>
          <w:highlight w:val="none"/>
        </w:rPr>
        <w:t xml:space="preserve"> </w:t>
      </w:r>
      <w:r>
        <w:rPr>
          <w:rFonts w:hint="eastAsia" w:ascii="MingLiU_HKSCS" w:hAnsi="MingLiU_HKSCS" w:cs="MingLiU_HKSCS"/>
          <w:b/>
          <w:bCs/>
          <w:color w:val="auto"/>
          <w:sz w:val="24"/>
          <w:szCs w:val="24"/>
          <w:highlight w:val="none"/>
          <w:lang w:val="en-US" w:eastAsia="zh-CN"/>
        </w:rPr>
        <w:t xml:space="preserve">  </w:t>
      </w:r>
      <w:r>
        <w:rPr>
          <w:rFonts w:hint="eastAsia" w:ascii="MingLiU_HKSCS" w:hAnsi="MingLiU_HKSCS" w:cs="MingLiU_HKSCS"/>
          <w:color w:val="auto"/>
          <w:sz w:val="24"/>
          <w:szCs w:val="24"/>
          <w:highlight w:val="none"/>
          <w:u w:val="single"/>
        </w:rPr>
        <w:t>安徽新华集团投资有限公司</w:t>
      </w:r>
      <w:r>
        <w:rPr>
          <w:rFonts w:hint="eastAsia" w:ascii="MingLiU_HKSCS" w:hAnsi="MingLiU_HKSCS" w:cs="MingLiU_HKSCS"/>
          <w:color w:val="auto"/>
          <w:sz w:val="24"/>
          <w:szCs w:val="24"/>
          <w:highlight w:val="none"/>
          <w:u w:val="single"/>
          <w:lang w:val="en-US" w:eastAsia="zh-CN"/>
        </w:rPr>
        <w:t xml:space="preserve">  </w:t>
      </w:r>
      <w:r>
        <w:rPr>
          <w:rFonts w:hint="eastAsia" w:ascii="MingLiU_HKSCS" w:hAnsi="MingLiU_HKSCS" w:cs="MingLiU_HKSCS"/>
          <w:color w:val="auto"/>
          <w:sz w:val="24"/>
          <w:szCs w:val="24"/>
          <w:highlight w:val="none"/>
          <w:u w:val="single"/>
        </w:rPr>
        <w:t xml:space="preserve"> </w:t>
      </w:r>
    </w:p>
    <w:p w14:paraId="550F0EC6">
      <w:pPr>
        <w:adjustRightInd w:val="0"/>
        <w:snapToGrid w:val="0"/>
        <w:spacing w:line="360" w:lineRule="auto"/>
        <w:rPr>
          <w:rFonts w:ascii="宋体"/>
          <w:b/>
          <w:bCs/>
          <w:color w:val="auto"/>
          <w:sz w:val="24"/>
          <w:szCs w:val="24"/>
          <w:highlight w:val="none"/>
        </w:rPr>
      </w:pPr>
      <w:r>
        <w:rPr>
          <w:rFonts w:hint="eastAsia" w:ascii="宋体" w:hAnsi="宋体" w:cs="宋体"/>
          <w:b/>
          <w:bCs/>
          <w:color w:val="auto"/>
          <w:sz w:val="24"/>
          <w:szCs w:val="24"/>
          <w:highlight w:val="none"/>
        </w:rPr>
        <w:t>咨询人（乙方）：</w:t>
      </w:r>
      <w:r>
        <w:rPr>
          <w:rFonts w:ascii="MingLiU_HKSCS" w:hAnsi="MingLiU_HKSCS" w:cs="MingLiU_HKSCS"/>
          <w:b/>
          <w:bCs/>
          <w:color w:val="auto"/>
          <w:sz w:val="24"/>
          <w:szCs w:val="24"/>
          <w:highlight w:val="none"/>
          <w:u w:val="single"/>
        </w:rPr>
        <w:t xml:space="preserve"> </w:t>
      </w:r>
      <w:r>
        <w:rPr>
          <w:rFonts w:hint="eastAsia" w:ascii="MingLiU_HKSCS" w:hAnsi="MingLiU_HKSCS" w:cs="MingLiU_HKSCS"/>
          <w:b/>
          <w:bCs/>
          <w:color w:val="auto"/>
          <w:sz w:val="24"/>
          <w:szCs w:val="24"/>
          <w:highlight w:val="none"/>
          <w:u w:val="single"/>
          <w:lang w:val="en-US" w:eastAsia="zh-CN"/>
        </w:rPr>
        <w:t xml:space="preserve">                              </w:t>
      </w:r>
    </w:p>
    <w:p w14:paraId="3BA754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eastAsia="zh-CN"/>
        </w:rPr>
        <w:t>民法典</w:t>
      </w:r>
      <w:r>
        <w:rPr>
          <w:rFonts w:hint="eastAsia" w:ascii="宋体" w:hAnsi="宋体" w:cs="宋体"/>
          <w:color w:val="auto"/>
          <w:sz w:val="24"/>
          <w:szCs w:val="24"/>
          <w:highlight w:val="none"/>
        </w:rPr>
        <w:t>》及有关法律规定，遵循平等、自愿、公平和诚实信用的原则，双方就</w:t>
      </w:r>
      <w:r>
        <w:rPr>
          <w:rFonts w:hint="eastAsia" w:ascii="宋体" w:hAnsi="宋体" w:cs="宋体"/>
          <w:color w:val="auto"/>
          <w:sz w:val="24"/>
          <w:szCs w:val="24"/>
          <w:highlight w:val="none"/>
          <w:u w:val="single"/>
        </w:rPr>
        <w:t>甲方工程</w:t>
      </w:r>
      <w:r>
        <w:rPr>
          <w:rFonts w:hint="eastAsia" w:ascii="宋体" w:hAnsi="宋体" w:cs="宋体"/>
          <w:color w:val="auto"/>
          <w:sz w:val="24"/>
          <w:szCs w:val="24"/>
          <w:highlight w:val="none"/>
          <w:u w:val="single"/>
          <w:lang w:val="en-US" w:eastAsia="zh-CN"/>
        </w:rPr>
        <w:t>二审</w:t>
      </w:r>
      <w:r>
        <w:rPr>
          <w:rFonts w:hint="eastAsia" w:ascii="宋体" w:hAnsi="宋体" w:cs="宋体"/>
          <w:color w:val="auto"/>
          <w:sz w:val="24"/>
          <w:szCs w:val="24"/>
          <w:highlight w:val="none"/>
          <w:u w:val="single"/>
        </w:rPr>
        <w:t>造价咨询审计服务项目</w:t>
      </w:r>
      <w:r>
        <w:rPr>
          <w:rFonts w:hint="eastAsia" w:ascii="宋体" w:hAnsi="宋体" w:cs="宋体"/>
          <w:color w:val="auto"/>
          <w:sz w:val="24"/>
          <w:szCs w:val="24"/>
          <w:highlight w:val="none"/>
        </w:rPr>
        <w:t>有关事项协商一致，共同达成如下协议：</w:t>
      </w:r>
    </w:p>
    <w:p w14:paraId="7ED4159B">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一、工程概况</w:t>
      </w:r>
    </w:p>
    <w:p w14:paraId="6EF77C45">
      <w:pPr>
        <w:spacing w:line="360" w:lineRule="auto"/>
        <w:ind w:firstLine="480" w:firstLineChars="200"/>
        <w:rPr>
          <w:rFonts w:ascii="宋体"/>
          <w:color w:val="auto"/>
          <w:sz w:val="24"/>
          <w:szCs w:val="24"/>
          <w:highlight w:val="none"/>
          <w:u w:val="single"/>
        </w:rPr>
      </w:pP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工程名称：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二审</w:t>
      </w:r>
      <w:r>
        <w:rPr>
          <w:rFonts w:hint="eastAsia" w:ascii="宋体" w:hAnsi="宋体" w:cs="宋体"/>
          <w:color w:val="auto"/>
          <w:sz w:val="24"/>
          <w:szCs w:val="24"/>
          <w:highlight w:val="none"/>
          <w:u w:val="single"/>
        </w:rPr>
        <w:t>造价咨询审计服务项目</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4926A2F">
      <w:pPr>
        <w:spacing w:line="360" w:lineRule="auto"/>
        <w:ind w:firstLine="470" w:firstLineChars="196"/>
        <w:rPr>
          <w:rFonts w:ascii="宋体"/>
          <w:color w:val="auto"/>
          <w:sz w:val="24"/>
          <w:szCs w:val="24"/>
          <w:highlight w:val="none"/>
        </w:rPr>
      </w:pPr>
      <w:r>
        <w:rPr>
          <w:rFonts w:ascii="宋体" w:hAnsi="宋体" w:cs="宋体"/>
          <w:color w:val="auto"/>
          <w:sz w:val="24"/>
          <w:szCs w:val="24"/>
          <w:highlight w:val="none"/>
        </w:rPr>
        <w:t xml:space="preserve">2. </w:t>
      </w:r>
      <w:r>
        <w:rPr>
          <w:rFonts w:hint="eastAsia" w:ascii="宋体" w:hAnsi="宋体" w:cs="宋体"/>
          <w:color w:val="auto"/>
          <w:sz w:val="24"/>
          <w:szCs w:val="24"/>
          <w:highlight w:val="none"/>
        </w:rPr>
        <w:t>工程规模：</w:t>
      </w:r>
      <w:r>
        <w:rPr>
          <w:rFonts w:hint="eastAsia" w:ascii="宋体" w:hAnsi="宋体" w:cs="宋体"/>
          <w:color w:val="auto"/>
          <w:sz w:val="24"/>
          <w:szCs w:val="24"/>
          <w:highlight w:val="none"/>
          <w:u w:val="single"/>
        </w:rPr>
        <w:t>以实际委托为准</w:t>
      </w:r>
      <w:r>
        <w:rPr>
          <w:rFonts w:hint="eastAsia" w:ascii="宋体" w:hAnsi="宋体" w:cs="宋体"/>
          <w:color w:val="auto"/>
          <w:sz w:val="24"/>
          <w:szCs w:val="24"/>
          <w:highlight w:val="none"/>
        </w:rPr>
        <w:t>。</w:t>
      </w:r>
    </w:p>
    <w:p w14:paraId="15912926">
      <w:pPr>
        <w:spacing w:line="360" w:lineRule="auto"/>
        <w:ind w:firstLine="482" w:firstLineChars="200"/>
        <w:rPr>
          <w:rFonts w:ascii="宋体"/>
          <w:color w:val="auto"/>
          <w:sz w:val="24"/>
          <w:szCs w:val="24"/>
          <w:highlight w:val="none"/>
        </w:rPr>
      </w:pPr>
      <w:r>
        <w:rPr>
          <w:rFonts w:hint="eastAsia" w:ascii="宋体" w:hAnsi="宋体" w:cs="宋体"/>
          <w:b/>
          <w:bCs/>
          <w:color w:val="auto"/>
          <w:sz w:val="24"/>
          <w:szCs w:val="24"/>
          <w:highlight w:val="none"/>
        </w:rPr>
        <w:t>二、咨询业务范围：</w:t>
      </w:r>
      <w:r>
        <w:rPr>
          <w:rFonts w:ascii="宋体" w:hAnsi="宋体" w:cs="宋体"/>
          <w:color w:val="auto"/>
          <w:sz w:val="24"/>
          <w:szCs w:val="24"/>
          <w:highlight w:val="none"/>
          <w:u w:val="single"/>
        </w:rPr>
        <w:t xml:space="preserve"> </w:t>
      </w:r>
      <w:r>
        <w:rPr>
          <w:rFonts w:hint="eastAsia" w:ascii="宋体" w:hAnsi="宋体" w:cs="宋体"/>
          <w:b w:val="0"/>
          <w:bCs w:val="0"/>
          <w:color w:val="auto"/>
          <w:sz w:val="24"/>
          <w:szCs w:val="24"/>
          <w:highlight w:val="none"/>
          <w:u w:val="single"/>
        </w:rPr>
        <w:t>《通用合同条款》4.1所列咨询业务</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7C086BC">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三、咨询期限</w:t>
      </w:r>
    </w:p>
    <w:p w14:paraId="6C352969">
      <w:pPr>
        <w:numPr>
          <w:ilvl w:val="0"/>
          <w:numId w:val="0"/>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服务期限为</w:t>
      </w:r>
      <w:r>
        <w:rPr>
          <w:rFonts w:hint="eastAsia" w:ascii="宋体" w:hAnsi="宋体" w:eastAsia="宋体" w:cs="宋体"/>
          <w:color w:val="auto"/>
          <w:kern w:val="0"/>
          <w:sz w:val="24"/>
          <w:szCs w:val="24"/>
          <w:highlight w:val="none"/>
          <w:u w:val="single"/>
          <w:lang w:val="en-US" w:eastAsia="zh-CN"/>
        </w:rPr>
        <w:t xml:space="preserve"> 壹 </w:t>
      </w:r>
      <w:r>
        <w:rPr>
          <w:rFonts w:hint="eastAsia" w:ascii="宋体" w:hAnsi="宋体" w:eastAsia="宋体" w:cs="宋体"/>
          <w:color w:val="auto"/>
          <w:kern w:val="0"/>
          <w:sz w:val="24"/>
          <w:szCs w:val="24"/>
          <w:highlight w:val="none"/>
          <w:lang w:val="en-US" w:eastAsia="zh-CN"/>
        </w:rPr>
        <w:t>年，自本协议生效之日起计算。</w:t>
      </w:r>
    </w:p>
    <w:p w14:paraId="2614AB90">
      <w:pPr>
        <w:numPr>
          <w:ilvl w:val="0"/>
          <w:numId w:val="0"/>
        </w:num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2.咨询人</w:t>
      </w:r>
      <w:r>
        <w:rPr>
          <w:rFonts w:hint="default" w:ascii="宋体" w:hAnsi="宋体" w:eastAsia="宋体" w:cs="宋体"/>
          <w:color w:val="auto"/>
          <w:kern w:val="0"/>
          <w:sz w:val="24"/>
          <w:szCs w:val="24"/>
          <w:highlight w:val="none"/>
          <w:lang w:val="en-US" w:eastAsia="zh-CN"/>
        </w:rPr>
        <w:t>接到完整的审计资料，</w:t>
      </w:r>
      <w:r>
        <w:rPr>
          <w:rFonts w:hint="eastAsia" w:ascii="宋体" w:hAnsi="宋体" w:eastAsia="宋体" w:cs="宋体"/>
          <w:color w:val="auto"/>
          <w:kern w:val="0"/>
          <w:sz w:val="24"/>
          <w:szCs w:val="24"/>
          <w:highlight w:val="none"/>
          <w:lang w:val="en-US" w:eastAsia="zh-CN"/>
        </w:rPr>
        <w:t>1亿</w:t>
      </w:r>
      <w:r>
        <w:rPr>
          <w:rFonts w:hint="default" w:ascii="宋体" w:hAnsi="宋体" w:eastAsia="宋体" w:cs="宋体"/>
          <w:color w:val="auto"/>
          <w:kern w:val="0"/>
          <w:sz w:val="24"/>
          <w:szCs w:val="24"/>
          <w:highlight w:val="none"/>
          <w:lang w:val="en-US" w:eastAsia="zh-CN"/>
        </w:rPr>
        <w:t>元以下</w:t>
      </w:r>
      <w:r>
        <w:rPr>
          <w:rFonts w:hint="eastAsia" w:ascii="宋体" w:hAnsi="宋体" w:eastAsia="宋体" w:cs="宋体"/>
          <w:color w:val="auto"/>
          <w:kern w:val="0"/>
          <w:sz w:val="24"/>
          <w:szCs w:val="24"/>
          <w:highlight w:val="none"/>
          <w:lang w:val="en-US" w:eastAsia="zh-CN"/>
        </w:rPr>
        <w:t>（含1亿元）工程在1个月内完成</w:t>
      </w:r>
      <w:r>
        <w:rPr>
          <w:rFonts w:hint="default" w:ascii="宋体" w:hAnsi="宋体" w:eastAsia="宋体" w:cs="宋体"/>
          <w:color w:val="auto"/>
          <w:kern w:val="0"/>
          <w:sz w:val="24"/>
          <w:szCs w:val="24"/>
          <w:highlight w:val="none"/>
          <w:lang w:val="en-US" w:eastAsia="zh-CN"/>
        </w:rPr>
        <w:t>审计，做好审计取证工作，并撰写审计报告征求意见稿。</w:t>
      </w:r>
      <w:r>
        <w:rPr>
          <w:rFonts w:hint="eastAsia" w:ascii="宋体" w:hAnsi="宋体" w:eastAsia="宋体" w:cs="宋体"/>
          <w:color w:val="auto"/>
          <w:kern w:val="0"/>
          <w:sz w:val="24"/>
          <w:szCs w:val="24"/>
          <w:highlight w:val="none"/>
          <w:lang w:val="en-US" w:eastAsia="zh-CN"/>
        </w:rPr>
        <w:t>1亿元以上工程在2个月内完成</w:t>
      </w:r>
      <w:r>
        <w:rPr>
          <w:rFonts w:hint="default" w:ascii="宋体" w:hAnsi="宋体" w:eastAsia="宋体" w:cs="宋体"/>
          <w:color w:val="auto"/>
          <w:kern w:val="0"/>
          <w:sz w:val="24"/>
          <w:szCs w:val="24"/>
          <w:highlight w:val="none"/>
          <w:lang w:val="en-US" w:eastAsia="zh-CN"/>
        </w:rPr>
        <w:t>审计，做好审计取证工作，并撰写审计报告征求意见稿</w:t>
      </w:r>
      <w:r>
        <w:rPr>
          <w:rFonts w:hint="eastAsia" w:ascii="宋体" w:hAnsi="宋体" w:eastAsia="宋体" w:cs="宋体"/>
          <w:color w:val="auto"/>
          <w:kern w:val="0"/>
          <w:sz w:val="24"/>
          <w:szCs w:val="24"/>
          <w:highlight w:val="none"/>
          <w:lang w:val="en-US" w:eastAsia="zh-CN"/>
        </w:rPr>
        <w:t>。</w:t>
      </w:r>
    </w:p>
    <w:p w14:paraId="066D3CE8">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四、质量标准</w:t>
      </w:r>
    </w:p>
    <w:p w14:paraId="5B188DD7">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工程造价咨询成果文件质量应符合</w:t>
      </w:r>
      <w:r>
        <w:rPr>
          <w:rFonts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中价协</w:t>
      </w:r>
      <w:r>
        <w:rPr>
          <w:rFonts w:ascii="宋体" w:hAnsi="宋体" w:cs="宋体"/>
          <w:color w:val="auto"/>
          <w:sz w:val="24"/>
          <w:szCs w:val="24"/>
          <w:highlight w:val="none"/>
          <w:u w:val="single"/>
        </w:rPr>
        <w:t>[2012]011</w:t>
      </w:r>
      <w:r>
        <w:rPr>
          <w:rFonts w:hint="eastAsia" w:ascii="宋体" w:hAnsi="宋体" w:cs="宋体"/>
          <w:color w:val="auto"/>
          <w:sz w:val="24"/>
          <w:szCs w:val="24"/>
          <w:highlight w:val="none"/>
          <w:u w:val="single"/>
        </w:rPr>
        <w:t>号《建设工程造价咨询成果文件质量标准》</w:t>
      </w:r>
      <w:r>
        <w:rPr>
          <w:rFonts w:hint="eastAsia" w:ascii="宋体" w:hAnsi="宋体" w:cs="宋体"/>
          <w:color w:val="auto"/>
          <w:sz w:val="24"/>
          <w:szCs w:val="24"/>
          <w:highlight w:val="none"/>
          <w:u w:val="single"/>
          <w:lang w:val="en-US" w:eastAsia="zh-CN"/>
        </w:rPr>
        <w:t>以及甲方要求（结算定案表和审计报告等）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4131654">
      <w:pPr>
        <w:numPr>
          <w:ilvl w:val="0"/>
          <w:numId w:val="1"/>
        </w:num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咨询酬金及支付方式</w:t>
      </w:r>
      <w:r>
        <w:rPr>
          <w:rFonts w:ascii="宋体" w:hAnsi="宋体" w:cs="宋体"/>
          <w:b/>
          <w:bCs/>
          <w:color w:val="auto"/>
          <w:sz w:val="24"/>
          <w:szCs w:val="24"/>
          <w:highlight w:val="none"/>
        </w:rPr>
        <w:t xml:space="preserve"> </w:t>
      </w:r>
    </w:p>
    <w:p w14:paraId="1BC88C75">
      <w:pPr>
        <w:numPr>
          <w:ilvl w:val="0"/>
          <w:numId w:val="2"/>
        </w:numPr>
        <w:spacing w:line="360" w:lineRule="auto"/>
        <w:ind w:firstLine="480" w:firstLineChars="200"/>
        <w:rPr>
          <w:rFonts w:hint="eastAsia" w:ascii="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委托人</w:t>
      </w:r>
      <w:r>
        <w:rPr>
          <w:rFonts w:hint="eastAsia" w:ascii="宋体" w:hAnsi="宋体" w:eastAsia="宋体" w:cs="宋体"/>
          <w:color w:val="auto"/>
          <w:kern w:val="0"/>
          <w:sz w:val="24"/>
          <w:szCs w:val="24"/>
          <w:highlight w:val="none"/>
        </w:rPr>
        <w:t>同一个委托单内的项目，基本酬金和绩效酬金基数累计计算</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rPr>
        <w:t>酬金按附表1所列标准收取</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除酬金外甲方无需为本合同委托项目支付其他任何费用</w:t>
      </w:r>
      <w:r>
        <w:rPr>
          <w:rFonts w:hint="eastAsia" w:ascii="宋体" w:hAnsi="宋体" w:cs="宋体"/>
          <w:color w:val="auto"/>
          <w:kern w:val="0"/>
          <w:sz w:val="24"/>
          <w:szCs w:val="24"/>
          <w:highlight w:val="none"/>
        </w:rPr>
        <w:t>。</w:t>
      </w:r>
    </w:p>
    <w:p w14:paraId="1D4E47F0">
      <w:pPr>
        <w:numPr>
          <w:ilvl w:val="0"/>
          <w:numId w:val="2"/>
        </w:numPr>
        <w:spacing w:line="360" w:lineRule="auto"/>
        <w:ind w:left="0" w:leftChars="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支付方式：</w:t>
      </w:r>
      <w:r>
        <w:rPr>
          <w:rFonts w:hint="eastAsia" w:ascii="宋体" w:hAnsi="宋体" w:cs="宋体"/>
          <w:color w:val="auto"/>
          <w:kern w:val="0"/>
          <w:sz w:val="24"/>
          <w:szCs w:val="24"/>
          <w:highlight w:val="none"/>
          <w:lang w:val="en-US" w:eastAsia="zh-CN"/>
        </w:rPr>
        <w:t>所</w:t>
      </w:r>
      <w:r>
        <w:rPr>
          <w:rFonts w:hint="eastAsia" w:ascii="宋体" w:hAnsi="宋体" w:cs="宋体"/>
          <w:color w:val="auto"/>
          <w:kern w:val="0"/>
          <w:sz w:val="24"/>
          <w:szCs w:val="24"/>
          <w:highlight w:val="none"/>
        </w:rPr>
        <w:t>提交</w:t>
      </w:r>
      <w:r>
        <w:rPr>
          <w:rFonts w:hint="eastAsia" w:ascii="宋体" w:hAnsi="宋体" w:cs="宋体"/>
          <w:color w:val="auto"/>
          <w:kern w:val="0"/>
          <w:sz w:val="24"/>
          <w:szCs w:val="24"/>
          <w:highlight w:val="none"/>
          <w:lang w:val="en-US" w:eastAsia="zh-CN"/>
        </w:rPr>
        <w:t>的工程造价</w:t>
      </w:r>
      <w:r>
        <w:rPr>
          <w:rFonts w:hint="eastAsia" w:ascii="宋体" w:hAnsi="宋体" w:cs="宋体"/>
          <w:color w:val="auto"/>
          <w:kern w:val="0"/>
          <w:sz w:val="24"/>
          <w:szCs w:val="24"/>
          <w:highlight w:val="none"/>
        </w:rPr>
        <w:t>咨询成果文件</w:t>
      </w:r>
      <w:r>
        <w:rPr>
          <w:rFonts w:hint="eastAsia" w:ascii="宋体" w:hAnsi="宋体" w:cs="宋体"/>
          <w:color w:val="auto"/>
          <w:kern w:val="0"/>
          <w:sz w:val="24"/>
          <w:szCs w:val="24"/>
          <w:highlight w:val="none"/>
          <w:lang w:val="en-US" w:eastAsia="zh-CN"/>
        </w:rPr>
        <w:t>经甲方认可、</w:t>
      </w:r>
      <w:r>
        <w:rPr>
          <w:rFonts w:hint="eastAsia" w:ascii="宋体" w:hAnsi="宋体" w:cs="宋体"/>
          <w:color w:val="auto"/>
          <w:kern w:val="0"/>
          <w:sz w:val="24"/>
          <w:szCs w:val="24"/>
          <w:highlight w:val="none"/>
        </w:rPr>
        <w:t>并</w:t>
      </w:r>
      <w:r>
        <w:rPr>
          <w:rFonts w:hint="eastAsia" w:ascii="宋体" w:hAnsi="宋体" w:cs="宋体"/>
          <w:color w:val="auto"/>
          <w:kern w:val="0"/>
          <w:sz w:val="24"/>
          <w:szCs w:val="24"/>
          <w:highlight w:val="none"/>
          <w:lang w:val="en-US" w:eastAsia="zh-CN"/>
        </w:rPr>
        <w:t>向甲方</w:t>
      </w:r>
      <w:r>
        <w:rPr>
          <w:rFonts w:hint="eastAsia" w:ascii="宋体" w:hAnsi="宋体" w:cs="宋体"/>
          <w:color w:val="auto"/>
          <w:kern w:val="0"/>
          <w:sz w:val="24"/>
          <w:szCs w:val="24"/>
          <w:highlight w:val="none"/>
        </w:rPr>
        <w:t>开具</w:t>
      </w:r>
      <w:r>
        <w:rPr>
          <w:rFonts w:hint="eastAsia" w:ascii="宋体" w:hAnsi="宋体" w:cs="宋体"/>
          <w:color w:val="auto"/>
          <w:kern w:val="0"/>
          <w:sz w:val="24"/>
          <w:szCs w:val="24"/>
          <w:highlight w:val="none"/>
          <w:lang w:val="en-US" w:eastAsia="zh-CN"/>
        </w:rPr>
        <w:t>符合甲方要求的税务</w:t>
      </w:r>
      <w:r>
        <w:rPr>
          <w:rFonts w:hint="eastAsia" w:ascii="宋体" w:hAnsi="宋体" w:cs="宋体"/>
          <w:color w:val="auto"/>
          <w:kern w:val="0"/>
          <w:sz w:val="24"/>
          <w:szCs w:val="24"/>
          <w:highlight w:val="none"/>
        </w:rPr>
        <w:t>发票后</w:t>
      </w:r>
      <w:r>
        <w:rPr>
          <w:rFonts w:hint="eastAsia" w:ascii="宋体" w:hAnsi="宋体" w:cs="宋体"/>
          <w:color w:val="auto"/>
          <w:kern w:val="0"/>
          <w:sz w:val="24"/>
          <w:szCs w:val="24"/>
          <w:highlight w:val="none"/>
          <w:u w:val="single"/>
        </w:rPr>
        <w:t>20</w:t>
      </w:r>
      <w:r>
        <w:rPr>
          <w:rFonts w:hint="eastAsia" w:ascii="宋体" w:hAnsi="宋体" w:cs="宋体"/>
          <w:color w:val="auto"/>
          <w:kern w:val="0"/>
          <w:sz w:val="24"/>
          <w:szCs w:val="24"/>
          <w:highlight w:val="none"/>
        </w:rPr>
        <w:t>个工作日内支付。否则，</w:t>
      </w:r>
      <w:r>
        <w:rPr>
          <w:rFonts w:hint="eastAsia" w:ascii="宋体" w:hAnsi="宋体" w:cs="宋体"/>
          <w:color w:val="auto"/>
          <w:kern w:val="0"/>
          <w:sz w:val="24"/>
          <w:szCs w:val="24"/>
          <w:highlight w:val="none"/>
          <w:lang w:val="en-US" w:eastAsia="zh-CN"/>
        </w:rPr>
        <w:t>甲方</w:t>
      </w:r>
      <w:r>
        <w:rPr>
          <w:rFonts w:hint="eastAsia" w:ascii="宋体" w:hAnsi="宋体" w:cs="宋体"/>
          <w:color w:val="auto"/>
          <w:kern w:val="0"/>
          <w:sz w:val="24"/>
          <w:szCs w:val="24"/>
          <w:highlight w:val="none"/>
        </w:rPr>
        <w:t>有权暂不付款，由此产生的责任由</w:t>
      </w:r>
      <w:r>
        <w:rPr>
          <w:rFonts w:hint="eastAsia" w:ascii="宋体" w:hAnsi="宋体" w:cs="宋体"/>
          <w:color w:val="auto"/>
          <w:kern w:val="0"/>
          <w:sz w:val="24"/>
          <w:szCs w:val="24"/>
          <w:highlight w:val="none"/>
          <w:lang w:val="en-US" w:eastAsia="zh-CN"/>
        </w:rPr>
        <w:t>乙方</w:t>
      </w:r>
      <w:r>
        <w:rPr>
          <w:rFonts w:hint="eastAsia" w:ascii="宋体" w:hAnsi="宋体" w:cs="宋体"/>
          <w:color w:val="auto"/>
          <w:kern w:val="0"/>
          <w:sz w:val="24"/>
          <w:szCs w:val="24"/>
          <w:highlight w:val="none"/>
        </w:rPr>
        <w:t>自行承担。</w:t>
      </w:r>
    </w:p>
    <w:p w14:paraId="45500A9B">
      <w:pPr>
        <w:numPr>
          <w:ilvl w:val="0"/>
          <w:numId w:val="0"/>
        </w:numPr>
        <w:spacing w:line="360" w:lineRule="auto"/>
        <w:ind w:leftChars="200"/>
        <w:rPr>
          <w:rFonts w:ascii="宋体"/>
          <w:b/>
          <w:bCs/>
          <w:color w:val="auto"/>
          <w:sz w:val="24"/>
          <w:szCs w:val="24"/>
          <w:highlight w:val="none"/>
        </w:rPr>
      </w:pPr>
      <w:r>
        <w:rPr>
          <w:rFonts w:hint="eastAsia" w:ascii="宋体" w:hAnsi="宋体" w:cs="宋体"/>
          <w:b/>
          <w:bCs/>
          <w:color w:val="auto"/>
          <w:sz w:val="24"/>
          <w:szCs w:val="24"/>
          <w:highlight w:val="none"/>
        </w:rPr>
        <w:t>六、合同文件构成</w:t>
      </w:r>
    </w:p>
    <w:p w14:paraId="66CD4EB6">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本协议书与下列文件共同构成造价咨询合同不可分割的部分，互为解释、互相说明：</w:t>
      </w:r>
    </w:p>
    <w:p w14:paraId="2DD38A57">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中标通知书；</w:t>
      </w:r>
    </w:p>
    <w:p w14:paraId="54F7839D">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投标函及其附录；</w:t>
      </w:r>
      <w:r>
        <w:rPr>
          <w:rFonts w:ascii="宋体" w:hAnsi="宋体" w:cs="宋体"/>
          <w:color w:val="auto"/>
          <w:sz w:val="24"/>
          <w:szCs w:val="24"/>
          <w:highlight w:val="none"/>
        </w:rPr>
        <w:t xml:space="preserve"> </w:t>
      </w:r>
    </w:p>
    <w:p w14:paraId="3BA3520A">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通用合同条款；</w:t>
      </w:r>
    </w:p>
    <w:p w14:paraId="3E187F91">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专用合同条款。</w:t>
      </w:r>
    </w:p>
    <w:p w14:paraId="105439F8">
      <w:pPr>
        <w:autoSpaceDE w:val="0"/>
        <w:autoSpaceDN w:val="0"/>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在造价咨询合同订立及履行过程中形成的与合同有关的文件均构成造价咨询合同文件组成部分。</w:t>
      </w:r>
    </w:p>
    <w:p w14:paraId="232FF5C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对本协议书及上述各项合同文件作出的补充和修改，应以最新签署的为准。</w:t>
      </w:r>
    </w:p>
    <w:p w14:paraId="3BC43BAB">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七、词语含义</w:t>
      </w:r>
    </w:p>
    <w:p w14:paraId="3C935F9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本协议书中词语含义与第二部分通用合同条款中赋予的含义相同。</w:t>
      </w:r>
    </w:p>
    <w:p w14:paraId="50F2B16E">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八、签订时间</w:t>
      </w:r>
    </w:p>
    <w:p w14:paraId="550FA7EF">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本协议书于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w:t>
      </w:r>
    </w:p>
    <w:p w14:paraId="025BA0DC">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九、签订地点</w:t>
      </w:r>
    </w:p>
    <w:p w14:paraId="572BD834">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本协议书在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安徽新华集团投资有限公司</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签订。</w:t>
      </w:r>
    </w:p>
    <w:p w14:paraId="40D99A2C">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十、补充协议</w:t>
      </w:r>
    </w:p>
    <w:p w14:paraId="105853CB">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1、甲方各关联单位在开展工程造价咨询服务时可依据此合同签订业务约定书。</w:t>
      </w:r>
    </w:p>
    <w:p w14:paraId="5BD9E919">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本协议未尽事宜，合同当事人另行签订补充协议，补充协议是本合同的组成部分。</w:t>
      </w:r>
    </w:p>
    <w:p w14:paraId="6F5BC048">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十一、协议生效</w:t>
      </w:r>
    </w:p>
    <w:p w14:paraId="61CAB3D1">
      <w:pPr>
        <w:pStyle w:val="4"/>
        <w:keepNext w:val="0"/>
        <w:keepLines w:val="0"/>
        <w:widowControl/>
        <w:suppressLineNumbers w:val="0"/>
        <w:spacing w:line="360" w:lineRule="auto"/>
        <w:ind w:firstLine="420" w:firstLineChars="175"/>
        <w:rPr>
          <w:rFonts w:hint="eastAsia" w:eastAsia="宋体"/>
          <w:lang w:eastAsia="zh-CN"/>
        </w:rPr>
      </w:pPr>
      <w:r>
        <w:rPr>
          <w:rFonts w:hint="eastAsia" w:ascii="宋体" w:hAnsi="宋体" w:cs="宋体"/>
          <w:color w:val="auto"/>
          <w:sz w:val="24"/>
          <w:szCs w:val="24"/>
          <w:highlight w:val="none"/>
        </w:rPr>
        <w:t>本</w:t>
      </w:r>
      <w:r>
        <w:rPr>
          <w:rFonts w:hint="eastAsia" w:ascii="宋体" w:hAnsi="宋体" w:cs="宋体"/>
          <w:b/>
          <w:bCs/>
          <w:color w:val="auto"/>
          <w:sz w:val="24"/>
          <w:szCs w:val="24"/>
          <w:highlight w:val="none"/>
        </w:rPr>
        <w:t>协议及本协议第六条所列各项文件</w:t>
      </w:r>
      <w:r>
        <w:rPr>
          <w:rFonts w:hint="eastAsia" w:ascii="宋体" w:hAnsi="宋体" w:cs="宋体"/>
          <w:color w:val="auto"/>
          <w:sz w:val="24"/>
          <w:szCs w:val="24"/>
          <w:highlight w:val="none"/>
        </w:rPr>
        <w:t>自本协议</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签</w:t>
      </w:r>
      <w:r>
        <w:rPr>
          <w:rFonts w:hint="eastAsia" w:cs="宋体"/>
          <w:color w:val="auto"/>
          <w:sz w:val="24"/>
          <w:szCs w:val="24"/>
          <w:highlight w:val="none"/>
          <w:u w:val="single"/>
          <w:lang w:val="en-US" w:eastAsia="zh-CN"/>
        </w:rPr>
        <w:t>字盖章</w:t>
      </w:r>
      <w:r>
        <w:rPr>
          <w:rFonts w:hint="eastAsia" w:ascii="宋体" w:hAnsi="宋体" w:cs="宋体"/>
          <w:color w:val="auto"/>
          <w:sz w:val="24"/>
          <w:szCs w:val="24"/>
          <w:highlight w:val="none"/>
          <w:u w:val="single"/>
        </w:rPr>
        <w:t>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生效</w:t>
      </w:r>
      <w:r>
        <w:rPr>
          <w:rFonts w:hint="eastAsia" w:cs="宋体"/>
          <w:color w:val="auto"/>
          <w:sz w:val="24"/>
          <w:szCs w:val="24"/>
          <w:highlight w:val="none"/>
          <w:lang w:eastAsia="zh-CN"/>
        </w:rPr>
        <w:t>。</w:t>
      </w:r>
      <w:r>
        <w:t>合同到期后，</w:t>
      </w:r>
      <w:r>
        <w:rPr>
          <w:rFonts w:hint="eastAsia"/>
          <w:lang w:val="en-US" w:eastAsia="zh-CN"/>
        </w:rPr>
        <w:t>甲方对乙方在合同期内的二审造价咨询审计服务进行综合评价，如未提出异议，本合同</w:t>
      </w:r>
      <w:r>
        <w:t>自动顺延一年，</w:t>
      </w:r>
      <w:r>
        <w:rPr>
          <w:rFonts w:hint="eastAsia"/>
          <w:lang w:val="en-US" w:eastAsia="zh-CN"/>
        </w:rPr>
        <w:t>并</w:t>
      </w:r>
      <w:r>
        <w:t>视为合同续签</w:t>
      </w:r>
      <w:r>
        <w:rPr>
          <w:rFonts w:hint="eastAsia"/>
          <w:lang w:eastAsia="zh-CN"/>
        </w:rPr>
        <w:t>。</w:t>
      </w:r>
    </w:p>
    <w:p w14:paraId="43C4B2E3">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十二、合同份数</w:t>
      </w:r>
    </w:p>
    <w:p w14:paraId="732D18D6">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份，均具有同等法律效力，委托人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份，咨询人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2D65A2AB">
      <w:pPr>
        <w:spacing w:line="360" w:lineRule="auto"/>
        <w:rPr>
          <w:rFonts w:ascii="宋体"/>
          <w:color w:val="auto"/>
          <w:sz w:val="24"/>
          <w:szCs w:val="24"/>
          <w:highlight w:val="none"/>
        </w:rPr>
      </w:pPr>
    </w:p>
    <w:p w14:paraId="4440557B">
      <w:pPr>
        <w:tabs>
          <w:tab w:val="left" w:pos="4830"/>
        </w:tabs>
        <w:rPr>
          <w:rFonts w:hint="eastAsia" w:ascii="宋体" w:hAnsi="宋体"/>
          <w:color w:val="auto"/>
          <w:sz w:val="24"/>
          <w:highlight w:val="none"/>
        </w:rPr>
      </w:pPr>
      <w:r>
        <w:rPr>
          <w:rFonts w:hint="eastAsia" w:ascii="宋体" w:hAnsi="宋体"/>
          <w:color w:val="auto"/>
          <w:sz w:val="24"/>
          <w:highlight w:val="none"/>
        </w:rPr>
        <w:t>委托人：  (公章)                咨询人：  (公章)</w:t>
      </w:r>
    </w:p>
    <w:p w14:paraId="580B41EA">
      <w:pPr>
        <w:rPr>
          <w:rFonts w:hint="eastAsia" w:ascii="宋体" w:hAnsi="宋体"/>
          <w:color w:val="auto"/>
          <w:sz w:val="24"/>
          <w:highlight w:val="none"/>
        </w:rPr>
      </w:pPr>
      <w:r>
        <w:rPr>
          <w:rFonts w:hint="eastAsia" w:ascii="宋体" w:hAnsi="宋体"/>
          <w:color w:val="auto"/>
          <w:sz w:val="24"/>
          <w:highlight w:val="none"/>
        </w:rPr>
        <w:t xml:space="preserve">          </w:t>
      </w:r>
    </w:p>
    <w:p w14:paraId="42B103E1">
      <w:pPr>
        <w:rPr>
          <w:rFonts w:hint="eastAsia" w:ascii="宋体" w:hAnsi="宋体"/>
          <w:color w:val="auto"/>
          <w:sz w:val="24"/>
          <w:highlight w:val="none"/>
          <w:u w:val="single"/>
        </w:rPr>
      </w:pPr>
      <w:r>
        <w:rPr>
          <w:rFonts w:hint="eastAsia" w:ascii="宋体" w:hAnsi="宋体"/>
          <w:color w:val="auto"/>
          <w:sz w:val="24"/>
          <w:highlight w:val="none"/>
        </w:rPr>
        <w:t xml:space="preserve">                     </w:t>
      </w:r>
    </w:p>
    <w:p w14:paraId="45DB9AC4">
      <w:pPr>
        <w:rPr>
          <w:rFonts w:hint="eastAsia" w:ascii="宋体" w:hAnsi="宋体"/>
          <w:color w:val="auto"/>
          <w:sz w:val="24"/>
          <w:highlight w:val="none"/>
        </w:rPr>
      </w:pPr>
      <w:r>
        <w:rPr>
          <w:rFonts w:hint="eastAsia" w:ascii="宋体" w:hAnsi="宋体"/>
          <w:color w:val="auto"/>
          <w:sz w:val="24"/>
          <w:highlight w:val="none"/>
        </w:rPr>
        <w:t>法定代表人或其委托代理人：     法定代表人或其委托代理人：</w:t>
      </w:r>
    </w:p>
    <w:p w14:paraId="271AA29A">
      <w:pPr>
        <w:rPr>
          <w:rFonts w:hint="eastAsia" w:ascii="宋体" w:hAnsi="宋体"/>
          <w:color w:val="auto"/>
          <w:sz w:val="24"/>
          <w:highlight w:val="none"/>
        </w:rPr>
      </w:pPr>
      <w:r>
        <w:rPr>
          <w:rFonts w:hint="eastAsia" w:ascii="宋体" w:hAnsi="宋体"/>
          <w:color w:val="auto"/>
          <w:sz w:val="24"/>
          <w:highlight w:val="none"/>
        </w:rPr>
        <w:t>（签字）                       （签字）</w:t>
      </w:r>
    </w:p>
    <w:p w14:paraId="394E23FD">
      <w:pPr>
        <w:rPr>
          <w:rFonts w:hint="eastAsia" w:ascii="宋体" w:hAnsi="宋体"/>
          <w:color w:val="auto"/>
          <w:sz w:val="24"/>
          <w:highlight w:val="none"/>
        </w:rPr>
      </w:pPr>
    </w:p>
    <w:p w14:paraId="4299A0A8">
      <w:pPr>
        <w:spacing w:beforeLines="0" w:afterLines="0" w:line="24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MingLiU_HKSCS" w:hAnsi="MingLiU_HKSCS"/>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地    址：</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u w:val="single"/>
        </w:rPr>
        <w:t xml:space="preserve"> </w:t>
      </w:r>
    </w:p>
    <w:p w14:paraId="58D68838">
      <w:pPr>
        <w:spacing w:beforeLines="0" w:afterLines="0" w:line="240" w:lineRule="auto"/>
        <w:rPr>
          <w:rFonts w:hint="eastAsia" w:ascii="宋体" w:hAnsi="宋体"/>
          <w:sz w:val="24"/>
        </w:rPr>
      </w:pPr>
      <w:r>
        <w:rPr>
          <w:rFonts w:hint="eastAsia" w:ascii="宋体" w:hAnsi="宋体"/>
          <w:sz w:val="24"/>
        </w:rPr>
        <w:t>邮政编码：</w:t>
      </w:r>
      <w:r>
        <w:rPr>
          <w:rFonts w:hint="eastAsia" w:ascii="MingLiU_HKSCS" w:hAnsi="MingLiU_HKSCS"/>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邮政编码：</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p>
    <w:p w14:paraId="42D4473E">
      <w:pPr>
        <w:spacing w:beforeLines="0" w:afterLines="0" w:line="240" w:lineRule="auto"/>
        <w:rPr>
          <w:rFonts w:hint="eastAsia" w:ascii="宋体" w:hAnsi="宋体"/>
          <w:sz w:val="24"/>
        </w:rPr>
      </w:pPr>
      <w:r>
        <w:rPr>
          <w:rFonts w:hint="eastAsia" w:ascii="宋体" w:hAnsi="宋体"/>
          <w:sz w:val="24"/>
        </w:rPr>
        <w:t>电    话：</w:t>
      </w:r>
      <w:r>
        <w:rPr>
          <w:rFonts w:hint="eastAsia" w:ascii="MingLiU_HKSCS" w:hAnsi="MingLiU_HKSCS"/>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    话：</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u w:val="single"/>
        </w:rPr>
        <w:t xml:space="preserve"> </w:t>
      </w:r>
    </w:p>
    <w:p w14:paraId="71D1F1DC">
      <w:pPr>
        <w:spacing w:beforeLines="0" w:afterLines="0" w:line="240" w:lineRule="auto"/>
        <w:rPr>
          <w:rFonts w:hint="eastAsia" w:ascii="宋体" w:hAnsi="宋体"/>
          <w:sz w:val="24"/>
        </w:rPr>
      </w:pPr>
      <w:r>
        <w:rPr>
          <w:rFonts w:hint="eastAsia" w:ascii="宋体" w:hAnsi="宋体"/>
          <w:sz w:val="24"/>
        </w:rPr>
        <w:t>传    真：</w:t>
      </w:r>
      <w:r>
        <w:rPr>
          <w:rFonts w:hint="eastAsia" w:ascii="MingLiU_HKSCS" w:hAnsi="MingLiU_HKSCS"/>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传    真：</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u w:val="single"/>
        </w:rPr>
        <w:t xml:space="preserve"> </w:t>
      </w:r>
    </w:p>
    <w:p w14:paraId="46F71106">
      <w:pPr>
        <w:spacing w:beforeLines="0" w:afterLines="0" w:line="240" w:lineRule="auto"/>
        <w:rPr>
          <w:rFonts w:hint="eastAsia" w:ascii="宋体" w:hAnsi="宋体"/>
          <w:sz w:val="24"/>
        </w:rPr>
      </w:pPr>
      <w:r>
        <w:rPr>
          <w:rFonts w:hint="eastAsia" w:ascii="宋体" w:hAnsi="宋体"/>
          <w:sz w:val="24"/>
        </w:rPr>
        <w:t>电子信箱：</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电子信箱：</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p>
    <w:p w14:paraId="2538DE91">
      <w:pPr>
        <w:spacing w:beforeLines="0" w:afterLines="0" w:line="240" w:lineRule="auto"/>
        <w:rPr>
          <w:rFonts w:hint="eastAsia" w:ascii="宋体" w:hAnsi="宋体"/>
          <w:sz w:val="24"/>
        </w:rPr>
      </w:pPr>
      <w:r>
        <w:rPr>
          <w:rFonts w:hint="eastAsia" w:ascii="宋体" w:hAnsi="宋体"/>
          <w:sz w:val="24"/>
        </w:rPr>
        <w:t>开户银行：</w:t>
      </w:r>
      <w:r>
        <w:rPr>
          <w:rFonts w:hint="eastAsia" w:ascii="MingLiU_HKSCS" w:hAnsi="MingLiU_HKSCS"/>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开户银行：</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p>
    <w:p w14:paraId="48E28484">
      <w:pPr>
        <w:spacing w:beforeLines="0" w:afterLines="0" w:line="240" w:lineRule="auto"/>
        <w:rPr>
          <w:rFonts w:hint="eastAsia" w:ascii="宋体" w:hAnsi="宋体"/>
          <w:sz w:val="24"/>
        </w:rPr>
      </w:pPr>
      <w:r>
        <w:rPr>
          <w:rFonts w:hint="eastAsia" w:ascii="宋体" w:hAnsi="宋体"/>
          <w:sz w:val="24"/>
        </w:rPr>
        <w:t>账    号：</w:t>
      </w:r>
      <w:r>
        <w:rPr>
          <w:rFonts w:hint="eastAsia" w:ascii="MingLiU_HKSCS" w:hAnsi="MingLiU_HKSCS"/>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账    号：</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p>
    <w:p w14:paraId="01087900">
      <w:pPr>
        <w:widowControl/>
        <w:spacing w:line="240" w:lineRule="auto"/>
        <w:jc w:val="center"/>
        <w:rPr>
          <w:rFonts w:ascii="宋体"/>
          <w:b/>
          <w:bCs/>
          <w:sz w:val="24"/>
          <w:szCs w:val="24"/>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4D1BAC57">
      <w:pPr>
        <w:pStyle w:val="5"/>
        <w:widowControl/>
        <w:adjustRightInd w:val="0"/>
        <w:snapToGrid w:val="0"/>
        <w:spacing w:before="156" w:after="156" w:line="360" w:lineRule="auto"/>
        <w:jc w:val="center"/>
        <w:rPr>
          <w:b/>
          <w:color w:val="auto"/>
          <w:kern w:val="0"/>
          <w:highlight w:val="none"/>
        </w:rPr>
      </w:pPr>
    </w:p>
    <w:p w14:paraId="1E53B057">
      <w:pPr>
        <w:pStyle w:val="5"/>
        <w:widowControl/>
        <w:adjustRightInd w:val="0"/>
        <w:snapToGrid w:val="0"/>
        <w:spacing w:before="156" w:after="156" w:line="360" w:lineRule="auto"/>
        <w:jc w:val="center"/>
        <w:rPr>
          <w:rFonts w:hint="eastAsia" w:ascii="宋体" w:hAnsi="宋体"/>
          <w:b/>
          <w:color w:val="auto"/>
          <w:kern w:val="0"/>
          <w:highlight w:val="none"/>
        </w:rPr>
      </w:pPr>
      <w:r>
        <w:rPr>
          <w:rFonts w:hint="eastAsia" w:ascii="宋体" w:hAnsi="宋体"/>
          <w:b/>
          <w:color w:val="auto"/>
          <w:kern w:val="0"/>
          <w:highlight w:val="none"/>
        </w:rPr>
        <w:t>附表</w:t>
      </w:r>
      <w:r>
        <w:rPr>
          <w:b/>
          <w:color w:val="auto"/>
          <w:kern w:val="0"/>
          <w:highlight w:val="none"/>
        </w:rPr>
        <w:t>1</w:t>
      </w:r>
      <w:r>
        <w:rPr>
          <w:rFonts w:hint="eastAsia" w:ascii="宋体" w:hAnsi="宋体"/>
          <w:b/>
          <w:color w:val="auto"/>
          <w:kern w:val="0"/>
          <w:highlight w:val="none"/>
        </w:rPr>
        <w:t>：酬金收取标准</w:t>
      </w:r>
    </w:p>
    <w:tbl>
      <w:tblPr>
        <w:tblStyle w:val="6"/>
        <w:tblW w:w="13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471"/>
        <w:gridCol w:w="1153"/>
        <w:gridCol w:w="1076"/>
        <w:gridCol w:w="1148"/>
        <w:gridCol w:w="1191"/>
        <w:gridCol w:w="1320"/>
        <w:gridCol w:w="1248"/>
        <w:gridCol w:w="1306"/>
        <w:gridCol w:w="1205"/>
        <w:gridCol w:w="1250"/>
      </w:tblGrid>
      <w:tr w14:paraId="4482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902" w:type="dxa"/>
            <w:gridSpan w:val="2"/>
            <w:noWrap w:val="0"/>
            <w:vAlign w:val="center"/>
          </w:tcPr>
          <w:p w14:paraId="63AA35E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酬金收取</w:t>
            </w:r>
          </w:p>
        </w:tc>
        <w:tc>
          <w:tcPr>
            <w:tcW w:w="10897" w:type="dxa"/>
            <w:gridSpan w:val="9"/>
            <w:noWrap w:val="0"/>
            <w:vAlign w:val="center"/>
          </w:tcPr>
          <w:p w14:paraId="5509D5E8">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单位工程金额（万元） 费率： </w:t>
            </w:r>
            <w:r>
              <w:rPr>
                <w:rFonts w:hint="eastAsia"/>
                <w:color w:val="auto"/>
                <w:kern w:val="0"/>
                <w:sz w:val="24"/>
                <w:szCs w:val="24"/>
                <w:highlight w:val="none"/>
              </w:rPr>
              <w:t>‰</w:t>
            </w:r>
          </w:p>
        </w:tc>
      </w:tr>
      <w:tr w14:paraId="50BA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31" w:type="dxa"/>
            <w:vMerge w:val="restart"/>
            <w:noWrap w:val="0"/>
            <w:vAlign w:val="center"/>
          </w:tcPr>
          <w:p w14:paraId="17262FF2">
            <w:pPr>
              <w:jc w:val="center"/>
              <w:rPr>
                <w:rFonts w:hint="eastAsia" w:ascii="宋体" w:hAnsi="宋体" w:cs="宋体"/>
                <w:color w:val="auto"/>
                <w:sz w:val="24"/>
                <w:szCs w:val="24"/>
                <w:highlight w:val="none"/>
              </w:rPr>
            </w:pPr>
          </w:p>
          <w:p w14:paraId="61201D1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基本酬金</w:t>
            </w:r>
          </w:p>
        </w:tc>
        <w:tc>
          <w:tcPr>
            <w:tcW w:w="1471" w:type="dxa"/>
            <w:noWrap w:val="0"/>
            <w:vAlign w:val="center"/>
          </w:tcPr>
          <w:p w14:paraId="7C25B059">
            <w:pPr>
              <w:jc w:val="center"/>
            </w:pPr>
            <w:r>
              <w:rPr>
                <w:rFonts w:hint="eastAsia" w:ascii="宋体" w:hAnsi="宋体" w:cs="宋体"/>
                <w:color w:val="auto"/>
                <w:sz w:val="24"/>
                <w:szCs w:val="24"/>
                <w:highlight w:val="none"/>
              </w:rPr>
              <w:t>工程类型</w:t>
            </w:r>
          </w:p>
        </w:tc>
        <w:tc>
          <w:tcPr>
            <w:tcW w:w="1153" w:type="dxa"/>
            <w:noWrap w:val="0"/>
            <w:vAlign w:val="center"/>
          </w:tcPr>
          <w:p w14:paraId="49353762">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≤200</w:t>
            </w:r>
          </w:p>
        </w:tc>
        <w:tc>
          <w:tcPr>
            <w:tcW w:w="1076" w:type="dxa"/>
            <w:noWrap w:val="0"/>
            <w:vAlign w:val="center"/>
          </w:tcPr>
          <w:p w14:paraId="2A0AD0E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≤500</w:t>
            </w:r>
          </w:p>
        </w:tc>
        <w:tc>
          <w:tcPr>
            <w:tcW w:w="1148" w:type="dxa"/>
            <w:noWrap w:val="0"/>
            <w:vAlign w:val="center"/>
          </w:tcPr>
          <w:p w14:paraId="588792F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≤1000</w:t>
            </w:r>
          </w:p>
        </w:tc>
        <w:tc>
          <w:tcPr>
            <w:tcW w:w="1191" w:type="dxa"/>
            <w:noWrap w:val="0"/>
            <w:vAlign w:val="center"/>
          </w:tcPr>
          <w:p w14:paraId="78D61F90">
            <w:pPr>
              <w:widowControl/>
              <w:spacing w:line="360" w:lineRule="auto"/>
              <w:jc w:val="center"/>
            </w:pPr>
            <w:r>
              <w:rPr>
                <w:rFonts w:hint="eastAsia" w:ascii="宋体" w:hAnsi="宋体" w:cs="宋体"/>
                <w:color w:val="auto"/>
                <w:kern w:val="0"/>
                <w:sz w:val="24"/>
                <w:szCs w:val="24"/>
                <w:highlight w:val="none"/>
              </w:rPr>
              <w:t>≤5000</w:t>
            </w:r>
          </w:p>
        </w:tc>
        <w:tc>
          <w:tcPr>
            <w:tcW w:w="1320" w:type="dxa"/>
            <w:noWrap w:val="0"/>
            <w:vAlign w:val="center"/>
          </w:tcPr>
          <w:p w14:paraId="429859B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≤10000</w:t>
            </w:r>
          </w:p>
        </w:tc>
        <w:tc>
          <w:tcPr>
            <w:tcW w:w="1248" w:type="dxa"/>
            <w:noWrap w:val="0"/>
            <w:vAlign w:val="center"/>
          </w:tcPr>
          <w:p w14:paraId="373E5035">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0000</w:t>
            </w:r>
          </w:p>
        </w:tc>
        <w:tc>
          <w:tcPr>
            <w:tcW w:w="1306" w:type="dxa"/>
            <w:noWrap w:val="0"/>
            <w:vAlign w:val="center"/>
          </w:tcPr>
          <w:p w14:paraId="70E2D211">
            <w:pPr>
              <w:widowControl/>
              <w:spacing w:line="360" w:lineRule="auto"/>
              <w:jc w:val="center"/>
            </w:pPr>
            <w:r>
              <w:rPr>
                <w:rFonts w:hint="eastAsia" w:ascii="宋体" w:hAnsi="宋体" w:cs="宋体"/>
                <w:color w:val="auto"/>
                <w:kern w:val="0"/>
                <w:sz w:val="24"/>
                <w:szCs w:val="24"/>
                <w:highlight w:val="none"/>
              </w:rPr>
              <w:t>≤50000</w:t>
            </w:r>
          </w:p>
        </w:tc>
        <w:tc>
          <w:tcPr>
            <w:tcW w:w="1205" w:type="dxa"/>
            <w:noWrap w:val="0"/>
            <w:vAlign w:val="center"/>
          </w:tcPr>
          <w:p w14:paraId="721BA5D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75</w:t>
            </w:r>
            <w:r>
              <w:rPr>
                <w:rFonts w:hint="eastAsia" w:ascii="宋体" w:hAnsi="宋体" w:cs="宋体"/>
                <w:color w:val="auto"/>
                <w:kern w:val="0"/>
                <w:sz w:val="24"/>
                <w:szCs w:val="24"/>
                <w:highlight w:val="none"/>
              </w:rPr>
              <w:t>000</w:t>
            </w:r>
          </w:p>
        </w:tc>
        <w:tc>
          <w:tcPr>
            <w:tcW w:w="1250" w:type="dxa"/>
            <w:noWrap w:val="0"/>
            <w:vAlign w:val="center"/>
          </w:tcPr>
          <w:p w14:paraId="71F0B93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＞75000</w:t>
            </w:r>
          </w:p>
        </w:tc>
      </w:tr>
      <w:tr w14:paraId="1581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31" w:type="dxa"/>
            <w:vMerge w:val="continue"/>
            <w:noWrap w:val="0"/>
            <w:vAlign w:val="center"/>
          </w:tcPr>
          <w:p w14:paraId="6E44DD07">
            <w:pPr>
              <w:jc w:val="center"/>
              <w:rPr>
                <w:rFonts w:hint="eastAsia" w:ascii="宋体" w:hAnsi="宋体" w:cs="宋体"/>
                <w:color w:val="auto"/>
                <w:sz w:val="24"/>
                <w:szCs w:val="24"/>
                <w:highlight w:val="none"/>
              </w:rPr>
            </w:pPr>
          </w:p>
        </w:tc>
        <w:tc>
          <w:tcPr>
            <w:tcW w:w="1471" w:type="dxa"/>
            <w:noWrap w:val="0"/>
            <w:vAlign w:val="center"/>
          </w:tcPr>
          <w:p w14:paraId="70CDB42E">
            <w:pPr>
              <w:jc w:val="center"/>
            </w:pPr>
            <w:r>
              <w:rPr>
                <w:rFonts w:hint="eastAsia" w:ascii="宋体" w:hAnsi="宋体" w:cs="宋体"/>
                <w:color w:val="auto"/>
                <w:kern w:val="2"/>
                <w:sz w:val="24"/>
                <w:szCs w:val="24"/>
                <w:highlight w:val="none"/>
                <w:lang w:val="en-US" w:eastAsia="zh-CN" w:bidi="ar-SA"/>
              </w:rPr>
              <w:t>建筑工程</w:t>
            </w:r>
          </w:p>
        </w:tc>
        <w:tc>
          <w:tcPr>
            <w:tcW w:w="1153" w:type="dxa"/>
            <w:noWrap w:val="0"/>
            <w:vAlign w:val="center"/>
          </w:tcPr>
          <w:p w14:paraId="56E440D2">
            <w:pPr>
              <w:spacing w:line="360" w:lineRule="auto"/>
              <w:jc w:val="center"/>
              <w:rPr>
                <w:rFonts w:hint="default" w:ascii="宋体" w:hAnsi="宋体" w:eastAsia="宋体" w:cs="宋体"/>
                <w:color w:val="auto"/>
                <w:sz w:val="24"/>
                <w:szCs w:val="24"/>
                <w:highlight w:val="none"/>
                <w:lang w:val="en-US" w:eastAsia="zh-CN"/>
              </w:rPr>
            </w:pPr>
          </w:p>
        </w:tc>
        <w:tc>
          <w:tcPr>
            <w:tcW w:w="1076" w:type="dxa"/>
            <w:noWrap w:val="0"/>
            <w:vAlign w:val="center"/>
          </w:tcPr>
          <w:p w14:paraId="67C8F3EB">
            <w:pPr>
              <w:spacing w:line="360" w:lineRule="auto"/>
              <w:jc w:val="both"/>
              <w:rPr>
                <w:rFonts w:hint="default" w:ascii="宋体" w:hAnsi="宋体" w:eastAsia="宋体" w:cs="宋体"/>
                <w:color w:val="auto"/>
                <w:sz w:val="24"/>
                <w:szCs w:val="24"/>
                <w:highlight w:val="none"/>
                <w:lang w:val="en-US" w:eastAsia="zh-CN"/>
              </w:rPr>
            </w:pPr>
          </w:p>
        </w:tc>
        <w:tc>
          <w:tcPr>
            <w:tcW w:w="1148" w:type="dxa"/>
            <w:noWrap w:val="0"/>
            <w:vAlign w:val="center"/>
          </w:tcPr>
          <w:p w14:paraId="7F5C695B">
            <w:pPr>
              <w:spacing w:line="360" w:lineRule="auto"/>
              <w:jc w:val="both"/>
              <w:rPr>
                <w:rFonts w:hint="default" w:ascii="宋体" w:hAnsi="宋体" w:eastAsia="宋体" w:cs="宋体"/>
                <w:color w:val="auto"/>
                <w:sz w:val="24"/>
                <w:szCs w:val="24"/>
                <w:highlight w:val="none"/>
                <w:lang w:val="en-US" w:eastAsia="zh-CN"/>
              </w:rPr>
            </w:pPr>
          </w:p>
        </w:tc>
        <w:tc>
          <w:tcPr>
            <w:tcW w:w="1191" w:type="dxa"/>
            <w:noWrap w:val="0"/>
            <w:vAlign w:val="center"/>
          </w:tcPr>
          <w:p w14:paraId="2C176D5E">
            <w:pPr>
              <w:spacing w:line="360" w:lineRule="auto"/>
              <w:jc w:val="both"/>
            </w:pPr>
          </w:p>
        </w:tc>
        <w:tc>
          <w:tcPr>
            <w:tcW w:w="1320" w:type="dxa"/>
            <w:noWrap w:val="0"/>
            <w:vAlign w:val="center"/>
          </w:tcPr>
          <w:p w14:paraId="0A5FFD6B">
            <w:pPr>
              <w:spacing w:line="360" w:lineRule="auto"/>
              <w:jc w:val="both"/>
              <w:rPr>
                <w:rFonts w:hint="default" w:ascii="宋体" w:hAnsi="宋体" w:eastAsia="宋体" w:cs="宋体"/>
                <w:color w:val="auto"/>
                <w:sz w:val="24"/>
                <w:szCs w:val="24"/>
                <w:highlight w:val="none"/>
                <w:lang w:val="en-US" w:eastAsia="zh-CN"/>
              </w:rPr>
            </w:pPr>
          </w:p>
        </w:tc>
        <w:tc>
          <w:tcPr>
            <w:tcW w:w="1248" w:type="dxa"/>
            <w:noWrap w:val="0"/>
            <w:vAlign w:val="center"/>
          </w:tcPr>
          <w:p w14:paraId="14CF8568">
            <w:pPr>
              <w:spacing w:line="360" w:lineRule="auto"/>
              <w:jc w:val="both"/>
              <w:rPr>
                <w:rFonts w:hint="default" w:ascii="宋体" w:hAnsi="宋体" w:eastAsia="宋体" w:cs="宋体"/>
                <w:color w:val="auto"/>
                <w:sz w:val="24"/>
                <w:szCs w:val="24"/>
                <w:highlight w:val="none"/>
                <w:lang w:val="en-US" w:eastAsia="zh-CN"/>
              </w:rPr>
            </w:pPr>
          </w:p>
        </w:tc>
        <w:tc>
          <w:tcPr>
            <w:tcW w:w="1306" w:type="dxa"/>
            <w:noWrap w:val="0"/>
            <w:vAlign w:val="center"/>
          </w:tcPr>
          <w:p w14:paraId="46E02BE6">
            <w:pPr>
              <w:spacing w:line="360" w:lineRule="auto"/>
              <w:jc w:val="both"/>
            </w:pPr>
          </w:p>
        </w:tc>
        <w:tc>
          <w:tcPr>
            <w:tcW w:w="1205" w:type="dxa"/>
            <w:noWrap w:val="0"/>
            <w:vAlign w:val="center"/>
          </w:tcPr>
          <w:p w14:paraId="169971E3">
            <w:pPr>
              <w:spacing w:line="360" w:lineRule="auto"/>
              <w:jc w:val="both"/>
              <w:rPr>
                <w:rFonts w:hint="default" w:ascii="宋体" w:hAnsi="宋体" w:eastAsia="宋体" w:cs="宋体"/>
                <w:color w:val="auto"/>
                <w:sz w:val="24"/>
                <w:szCs w:val="24"/>
                <w:highlight w:val="none"/>
                <w:lang w:val="en-US" w:eastAsia="zh-CN"/>
              </w:rPr>
            </w:pPr>
          </w:p>
        </w:tc>
        <w:tc>
          <w:tcPr>
            <w:tcW w:w="1250" w:type="dxa"/>
            <w:noWrap w:val="0"/>
            <w:vAlign w:val="center"/>
          </w:tcPr>
          <w:p w14:paraId="196B07D3">
            <w:pPr>
              <w:spacing w:line="360" w:lineRule="auto"/>
              <w:jc w:val="both"/>
              <w:rPr>
                <w:rFonts w:hint="default" w:ascii="宋体" w:hAnsi="宋体" w:eastAsia="宋体" w:cs="宋体"/>
                <w:color w:val="auto"/>
                <w:sz w:val="24"/>
                <w:szCs w:val="24"/>
                <w:highlight w:val="none"/>
                <w:lang w:val="en-US" w:eastAsia="zh-CN"/>
              </w:rPr>
            </w:pPr>
          </w:p>
        </w:tc>
      </w:tr>
      <w:tr w14:paraId="1862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1" w:type="dxa"/>
            <w:vMerge w:val="continue"/>
            <w:noWrap w:val="0"/>
            <w:vAlign w:val="center"/>
          </w:tcPr>
          <w:p w14:paraId="4CB2AD75">
            <w:pPr>
              <w:jc w:val="center"/>
              <w:rPr>
                <w:rFonts w:hint="eastAsia" w:ascii="宋体" w:hAnsi="宋体" w:cs="宋体"/>
                <w:color w:val="auto"/>
                <w:sz w:val="24"/>
                <w:szCs w:val="24"/>
                <w:highlight w:val="none"/>
              </w:rPr>
            </w:pPr>
          </w:p>
        </w:tc>
        <w:tc>
          <w:tcPr>
            <w:tcW w:w="1471" w:type="dxa"/>
            <w:noWrap w:val="0"/>
            <w:vAlign w:val="center"/>
          </w:tcPr>
          <w:p w14:paraId="4062FFE0">
            <w:pPr>
              <w:pStyle w:val="5"/>
              <w:widowControl/>
              <w:adjustRightInd w:val="0"/>
              <w:snapToGrid w:val="0"/>
              <w:spacing w:before="156" w:after="156" w:line="360" w:lineRule="auto"/>
              <w:jc w:val="center"/>
            </w:pPr>
            <w:r>
              <w:rPr>
                <w:rFonts w:hint="eastAsia" w:ascii="宋体" w:hAnsi="宋体" w:cs="宋体"/>
                <w:color w:val="auto"/>
                <w:sz w:val="24"/>
                <w:szCs w:val="24"/>
                <w:highlight w:val="none"/>
              </w:rPr>
              <w:t>安装工程</w:t>
            </w:r>
          </w:p>
        </w:tc>
        <w:tc>
          <w:tcPr>
            <w:tcW w:w="1153" w:type="dxa"/>
            <w:noWrap w:val="0"/>
            <w:vAlign w:val="center"/>
          </w:tcPr>
          <w:p w14:paraId="4E43F70A">
            <w:pPr>
              <w:spacing w:line="360" w:lineRule="auto"/>
              <w:jc w:val="both"/>
              <w:rPr>
                <w:rFonts w:hint="default" w:ascii="宋体" w:hAnsi="宋体" w:eastAsia="宋体" w:cs="宋体"/>
                <w:color w:val="auto"/>
                <w:sz w:val="24"/>
                <w:szCs w:val="24"/>
                <w:highlight w:val="none"/>
                <w:lang w:val="en-US" w:eastAsia="zh-CN"/>
              </w:rPr>
            </w:pPr>
          </w:p>
        </w:tc>
        <w:tc>
          <w:tcPr>
            <w:tcW w:w="1076" w:type="dxa"/>
            <w:noWrap w:val="0"/>
            <w:vAlign w:val="center"/>
          </w:tcPr>
          <w:p w14:paraId="3751C5BA">
            <w:pPr>
              <w:spacing w:line="360" w:lineRule="auto"/>
              <w:jc w:val="both"/>
              <w:rPr>
                <w:rFonts w:hint="default" w:ascii="宋体" w:hAnsi="宋体" w:eastAsia="宋体" w:cs="宋体"/>
                <w:color w:val="auto"/>
                <w:sz w:val="24"/>
                <w:szCs w:val="24"/>
                <w:highlight w:val="none"/>
                <w:lang w:val="en-US" w:eastAsia="zh-CN"/>
              </w:rPr>
            </w:pPr>
          </w:p>
        </w:tc>
        <w:tc>
          <w:tcPr>
            <w:tcW w:w="1148" w:type="dxa"/>
            <w:noWrap w:val="0"/>
            <w:vAlign w:val="center"/>
          </w:tcPr>
          <w:p w14:paraId="07539A55">
            <w:pPr>
              <w:spacing w:line="360" w:lineRule="auto"/>
              <w:jc w:val="both"/>
              <w:rPr>
                <w:rFonts w:hint="default" w:ascii="宋体" w:hAnsi="宋体" w:eastAsia="宋体" w:cs="宋体"/>
                <w:color w:val="auto"/>
                <w:sz w:val="24"/>
                <w:szCs w:val="24"/>
                <w:highlight w:val="none"/>
                <w:lang w:val="en-US" w:eastAsia="zh-CN"/>
              </w:rPr>
            </w:pPr>
          </w:p>
        </w:tc>
        <w:tc>
          <w:tcPr>
            <w:tcW w:w="1191" w:type="dxa"/>
            <w:noWrap w:val="0"/>
            <w:vAlign w:val="center"/>
          </w:tcPr>
          <w:p w14:paraId="50C49EE4">
            <w:pPr>
              <w:spacing w:line="360" w:lineRule="auto"/>
              <w:jc w:val="both"/>
            </w:pPr>
          </w:p>
        </w:tc>
        <w:tc>
          <w:tcPr>
            <w:tcW w:w="1320" w:type="dxa"/>
            <w:noWrap w:val="0"/>
            <w:vAlign w:val="center"/>
          </w:tcPr>
          <w:p w14:paraId="34ED6E8B">
            <w:pPr>
              <w:spacing w:line="360" w:lineRule="auto"/>
              <w:jc w:val="both"/>
              <w:rPr>
                <w:rFonts w:hint="default" w:ascii="宋体" w:hAnsi="宋体" w:eastAsia="宋体" w:cs="宋体"/>
                <w:color w:val="auto"/>
                <w:sz w:val="24"/>
                <w:szCs w:val="24"/>
                <w:highlight w:val="none"/>
                <w:lang w:val="en-US" w:eastAsia="zh-CN"/>
              </w:rPr>
            </w:pPr>
          </w:p>
        </w:tc>
        <w:tc>
          <w:tcPr>
            <w:tcW w:w="1248" w:type="dxa"/>
            <w:noWrap w:val="0"/>
            <w:vAlign w:val="center"/>
          </w:tcPr>
          <w:p w14:paraId="4017264E">
            <w:pPr>
              <w:spacing w:line="360" w:lineRule="auto"/>
              <w:jc w:val="both"/>
              <w:rPr>
                <w:rFonts w:hint="default" w:ascii="宋体" w:hAnsi="宋体" w:eastAsia="宋体" w:cs="宋体"/>
                <w:color w:val="auto"/>
                <w:sz w:val="24"/>
                <w:szCs w:val="24"/>
                <w:highlight w:val="none"/>
                <w:lang w:val="en-US" w:eastAsia="zh-CN"/>
              </w:rPr>
            </w:pPr>
          </w:p>
        </w:tc>
        <w:tc>
          <w:tcPr>
            <w:tcW w:w="1306" w:type="dxa"/>
            <w:noWrap w:val="0"/>
            <w:vAlign w:val="center"/>
          </w:tcPr>
          <w:p w14:paraId="2485EFE5">
            <w:pPr>
              <w:spacing w:line="360" w:lineRule="auto"/>
              <w:jc w:val="both"/>
            </w:pPr>
          </w:p>
        </w:tc>
        <w:tc>
          <w:tcPr>
            <w:tcW w:w="1205" w:type="dxa"/>
            <w:noWrap w:val="0"/>
            <w:vAlign w:val="center"/>
          </w:tcPr>
          <w:p w14:paraId="768B8D96">
            <w:pPr>
              <w:spacing w:line="360" w:lineRule="auto"/>
              <w:jc w:val="both"/>
              <w:rPr>
                <w:rFonts w:hint="default" w:ascii="宋体" w:hAnsi="宋体" w:eastAsia="宋体" w:cs="宋体"/>
                <w:color w:val="auto"/>
                <w:sz w:val="24"/>
                <w:szCs w:val="24"/>
                <w:highlight w:val="none"/>
                <w:lang w:val="en-US" w:eastAsia="zh-CN"/>
              </w:rPr>
            </w:pPr>
          </w:p>
        </w:tc>
        <w:tc>
          <w:tcPr>
            <w:tcW w:w="1250" w:type="dxa"/>
            <w:noWrap w:val="0"/>
            <w:vAlign w:val="center"/>
          </w:tcPr>
          <w:p w14:paraId="13700244">
            <w:pPr>
              <w:spacing w:line="360" w:lineRule="auto"/>
              <w:jc w:val="both"/>
              <w:rPr>
                <w:rFonts w:hint="default" w:ascii="宋体" w:hAnsi="宋体" w:eastAsia="宋体" w:cs="宋体"/>
                <w:color w:val="auto"/>
                <w:sz w:val="24"/>
                <w:szCs w:val="24"/>
                <w:highlight w:val="none"/>
                <w:lang w:val="en-US" w:eastAsia="zh-CN"/>
              </w:rPr>
            </w:pPr>
          </w:p>
        </w:tc>
      </w:tr>
      <w:tr w14:paraId="255A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31" w:type="dxa"/>
            <w:noWrap w:val="0"/>
            <w:vAlign w:val="center"/>
          </w:tcPr>
          <w:p w14:paraId="0412CD6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绩效酬金</w:t>
            </w:r>
          </w:p>
        </w:tc>
        <w:tc>
          <w:tcPr>
            <w:tcW w:w="1471" w:type="dxa"/>
            <w:noWrap w:val="0"/>
            <w:vAlign w:val="center"/>
          </w:tcPr>
          <w:p w14:paraId="52EC47C3">
            <w:pPr>
              <w:jc w:val="center"/>
            </w:pPr>
            <w:r>
              <w:rPr>
                <w:rFonts w:hint="eastAsia" w:ascii="宋体" w:hAnsi="宋体" w:cs="宋体"/>
                <w:color w:val="auto"/>
                <w:sz w:val="24"/>
                <w:szCs w:val="24"/>
                <w:highlight w:val="none"/>
              </w:rPr>
              <w:t>审减额（费率%）</w:t>
            </w:r>
          </w:p>
        </w:tc>
        <w:tc>
          <w:tcPr>
            <w:tcW w:w="1153" w:type="dxa"/>
            <w:noWrap w:val="0"/>
            <w:vAlign w:val="center"/>
          </w:tcPr>
          <w:p w14:paraId="4BF85852">
            <w:pPr>
              <w:spacing w:line="360" w:lineRule="auto"/>
              <w:jc w:val="both"/>
              <w:rPr>
                <w:rFonts w:hint="eastAsia" w:ascii="宋体" w:hAnsi="宋体" w:eastAsia="宋体" w:cs="宋体"/>
                <w:color w:val="auto"/>
                <w:sz w:val="24"/>
                <w:szCs w:val="24"/>
                <w:highlight w:val="none"/>
                <w:lang w:val="en-US" w:eastAsia="zh-CN"/>
              </w:rPr>
            </w:pPr>
          </w:p>
        </w:tc>
        <w:tc>
          <w:tcPr>
            <w:tcW w:w="1076" w:type="dxa"/>
            <w:noWrap w:val="0"/>
            <w:vAlign w:val="center"/>
          </w:tcPr>
          <w:p w14:paraId="4AF2DBE8">
            <w:pPr>
              <w:spacing w:line="360" w:lineRule="auto"/>
              <w:jc w:val="both"/>
              <w:rPr>
                <w:rFonts w:hint="eastAsia" w:ascii="宋体" w:hAnsi="宋体" w:eastAsia="宋体" w:cs="宋体"/>
                <w:color w:val="auto"/>
                <w:sz w:val="24"/>
                <w:szCs w:val="24"/>
                <w:highlight w:val="none"/>
                <w:lang w:val="en-US" w:eastAsia="zh-CN"/>
              </w:rPr>
            </w:pPr>
          </w:p>
        </w:tc>
        <w:tc>
          <w:tcPr>
            <w:tcW w:w="1148" w:type="dxa"/>
            <w:noWrap w:val="0"/>
            <w:vAlign w:val="center"/>
          </w:tcPr>
          <w:p w14:paraId="661F8340">
            <w:pPr>
              <w:spacing w:line="360" w:lineRule="auto"/>
              <w:jc w:val="both"/>
              <w:rPr>
                <w:rFonts w:hint="eastAsia" w:ascii="宋体" w:hAnsi="宋体" w:eastAsia="宋体" w:cs="宋体"/>
                <w:color w:val="auto"/>
                <w:sz w:val="24"/>
                <w:szCs w:val="24"/>
                <w:highlight w:val="none"/>
                <w:lang w:val="en-US" w:eastAsia="zh-CN"/>
              </w:rPr>
            </w:pPr>
          </w:p>
        </w:tc>
        <w:tc>
          <w:tcPr>
            <w:tcW w:w="1191" w:type="dxa"/>
            <w:noWrap w:val="0"/>
            <w:vAlign w:val="center"/>
          </w:tcPr>
          <w:p w14:paraId="3C115CF3">
            <w:pPr>
              <w:spacing w:line="360" w:lineRule="auto"/>
              <w:jc w:val="both"/>
            </w:pPr>
          </w:p>
        </w:tc>
        <w:tc>
          <w:tcPr>
            <w:tcW w:w="1320" w:type="dxa"/>
            <w:noWrap w:val="0"/>
            <w:vAlign w:val="center"/>
          </w:tcPr>
          <w:p w14:paraId="3DB7CE6B">
            <w:pPr>
              <w:spacing w:line="360" w:lineRule="auto"/>
              <w:jc w:val="both"/>
              <w:rPr>
                <w:rFonts w:hint="eastAsia" w:ascii="宋体" w:hAnsi="宋体" w:eastAsia="宋体" w:cs="宋体"/>
                <w:color w:val="auto"/>
                <w:sz w:val="24"/>
                <w:szCs w:val="24"/>
                <w:highlight w:val="none"/>
                <w:lang w:val="en-US" w:eastAsia="zh-CN"/>
              </w:rPr>
            </w:pPr>
          </w:p>
        </w:tc>
        <w:tc>
          <w:tcPr>
            <w:tcW w:w="1248" w:type="dxa"/>
            <w:noWrap w:val="0"/>
            <w:vAlign w:val="center"/>
          </w:tcPr>
          <w:p w14:paraId="69082890">
            <w:pPr>
              <w:spacing w:line="360" w:lineRule="auto"/>
              <w:jc w:val="both"/>
              <w:rPr>
                <w:rFonts w:hint="default" w:ascii="宋体" w:hAnsi="宋体" w:eastAsia="宋体" w:cs="宋体"/>
                <w:color w:val="auto"/>
                <w:sz w:val="24"/>
                <w:szCs w:val="24"/>
                <w:highlight w:val="none"/>
                <w:lang w:val="en-US" w:eastAsia="zh-CN"/>
              </w:rPr>
            </w:pPr>
          </w:p>
        </w:tc>
        <w:tc>
          <w:tcPr>
            <w:tcW w:w="1306" w:type="dxa"/>
            <w:noWrap w:val="0"/>
            <w:vAlign w:val="center"/>
          </w:tcPr>
          <w:p w14:paraId="21CED8CE">
            <w:pPr>
              <w:spacing w:line="360" w:lineRule="auto"/>
              <w:jc w:val="both"/>
            </w:pPr>
          </w:p>
        </w:tc>
        <w:tc>
          <w:tcPr>
            <w:tcW w:w="1205" w:type="dxa"/>
            <w:noWrap w:val="0"/>
            <w:vAlign w:val="center"/>
          </w:tcPr>
          <w:p w14:paraId="01F46C3A">
            <w:pPr>
              <w:spacing w:line="360" w:lineRule="auto"/>
              <w:jc w:val="both"/>
              <w:rPr>
                <w:rFonts w:hint="default" w:ascii="宋体" w:hAnsi="宋体" w:eastAsia="宋体" w:cs="宋体"/>
                <w:color w:val="auto"/>
                <w:sz w:val="24"/>
                <w:szCs w:val="24"/>
                <w:highlight w:val="none"/>
                <w:lang w:val="en-US" w:eastAsia="zh-CN"/>
              </w:rPr>
            </w:pPr>
          </w:p>
        </w:tc>
        <w:tc>
          <w:tcPr>
            <w:tcW w:w="1250" w:type="dxa"/>
            <w:noWrap w:val="0"/>
            <w:vAlign w:val="center"/>
          </w:tcPr>
          <w:p w14:paraId="1B135CAC">
            <w:pPr>
              <w:spacing w:line="360" w:lineRule="auto"/>
              <w:jc w:val="both"/>
              <w:rPr>
                <w:rFonts w:hint="default" w:ascii="宋体" w:hAnsi="宋体" w:eastAsia="宋体" w:cs="宋体"/>
                <w:color w:val="auto"/>
                <w:sz w:val="24"/>
                <w:szCs w:val="24"/>
                <w:highlight w:val="none"/>
                <w:lang w:val="en-US" w:eastAsia="zh-CN"/>
              </w:rPr>
            </w:pPr>
          </w:p>
        </w:tc>
      </w:tr>
    </w:tbl>
    <w:p w14:paraId="42057205">
      <w:pPr>
        <w:jc w:val="left"/>
        <w:rPr>
          <w:color w:val="auto"/>
          <w:sz w:val="24"/>
          <w:highlight w:val="none"/>
        </w:rPr>
      </w:pPr>
      <w:r>
        <w:rPr>
          <w:rFonts w:hint="eastAsia" w:ascii="宋体" w:hAnsi="宋体"/>
          <w:color w:val="auto"/>
          <w:kern w:val="0"/>
          <w:sz w:val="24"/>
          <w:highlight w:val="none"/>
        </w:rPr>
        <w:t>本收费标准中的</w:t>
      </w:r>
      <w:r>
        <w:rPr>
          <w:rFonts w:hint="eastAsia"/>
          <w:color w:val="auto"/>
          <w:kern w:val="0"/>
          <w:sz w:val="24"/>
          <w:highlight w:val="none"/>
          <w:lang w:eastAsia="zh-CN"/>
        </w:rPr>
        <w:t>“</w:t>
      </w:r>
      <w:r>
        <w:rPr>
          <w:rFonts w:hint="eastAsia" w:ascii="宋体" w:hAnsi="宋体"/>
          <w:color w:val="auto"/>
          <w:kern w:val="0"/>
          <w:sz w:val="24"/>
          <w:highlight w:val="none"/>
        </w:rPr>
        <w:t>建筑工程</w:t>
      </w:r>
      <w:r>
        <w:rPr>
          <w:rFonts w:hint="eastAsia"/>
          <w:color w:val="auto"/>
          <w:kern w:val="0"/>
          <w:sz w:val="24"/>
          <w:highlight w:val="none"/>
          <w:lang w:eastAsia="zh-CN"/>
        </w:rPr>
        <w:t>”</w:t>
      </w:r>
      <w:r>
        <w:rPr>
          <w:rFonts w:hint="eastAsia" w:ascii="宋体" w:hAnsi="宋体"/>
          <w:color w:val="auto"/>
          <w:kern w:val="0"/>
          <w:sz w:val="24"/>
          <w:highlight w:val="none"/>
        </w:rPr>
        <w:t>适用建筑工程及配套的装饰工程、安装工程；市政工程等。</w:t>
      </w:r>
      <w:r>
        <w:rPr>
          <w:rFonts w:hint="eastAsia"/>
          <w:color w:val="auto"/>
          <w:kern w:val="0"/>
          <w:sz w:val="24"/>
          <w:highlight w:val="none"/>
          <w:lang w:eastAsia="zh-CN"/>
        </w:rPr>
        <w:t>“</w:t>
      </w:r>
      <w:r>
        <w:rPr>
          <w:rFonts w:hint="eastAsia" w:ascii="宋体" w:hAnsi="宋体"/>
          <w:color w:val="auto"/>
          <w:kern w:val="0"/>
          <w:sz w:val="24"/>
          <w:highlight w:val="none"/>
        </w:rPr>
        <w:t>安装工程</w:t>
      </w:r>
      <w:r>
        <w:rPr>
          <w:rFonts w:hint="eastAsia"/>
          <w:color w:val="auto"/>
          <w:kern w:val="0"/>
          <w:sz w:val="24"/>
          <w:highlight w:val="none"/>
          <w:lang w:eastAsia="zh-CN"/>
        </w:rPr>
        <w:t>”</w:t>
      </w:r>
      <w:r>
        <w:rPr>
          <w:rFonts w:hint="eastAsia" w:ascii="宋体" w:hAnsi="宋体"/>
          <w:color w:val="auto"/>
          <w:kern w:val="0"/>
          <w:sz w:val="24"/>
          <w:highlight w:val="none"/>
        </w:rPr>
        <w:t>适用单独安装工程、装饰工程（含二次装饰装修）；房屋修缮；园林绿化及仿古建筑工程等。</w:t>
      </w:r>
    </w:p>
    <w:p w14:paraId="1EEF06D7">
      <w:pPr>
        <w:pStyle w:val="5"/>
        <w:widowControl/>
        <w:adjustRightInd w:val="0"/>
        <w:snapToGrid w:val="0"/>
        <w:spacing w:before="156" w:after="156" w:line="360" w:lineRule="auto"/>
        <w:jc w:val="center"/>
        <w:rPr>
          <w:rFonts w:hint="eastAsia" w:ascii="宋体" w:hAnsi="宋体"/>
          <w:b/>
          <w:color w:val="auto"/>
          <w:kern w:val="0"/>
          <w:highlight w:val="none"/>
        </w:rPr>
      </w:pPr>
    </w:p>
    <w:p w14:paraId="541B793D">
      <w:pPr>
        <w:widowControl/>
        <w:spacing w:line="360" w:lineRule="auto"/>
        <w:jc w:val="center"/>
        <w:rPr>
          <w:rFonts w:ascii="宋体"/>
          <w:b/>
          <w:bCs/>
          <w:color w:val="auto"/>
          <w:sz w:val="24"/>
          <w:szCs w:val="24"/>
          <w:highlight w:val="none"/>
        </w:rPr>
        <w:sectPr>
          <w:pgSz w:w="16838" w:h="11906" w:orient="landscape"/>
          <w:pgMar w:top="1800" w:right="1440" w:bottom="1800" w:left="1440" w:header="851" w:footer="992" w:gutter="0"/>
          <w:pgNumType w:fmt="decimal"/>
          <w:cols w:space="720" w:num="1"/>
          <w:docGrid w:type="lines" w:linePitch="312" w:charSpace="0"/>
        </w:sectPr>
      </w:pPr>
    </w:p>
    <w:p w14:paraId="60FF985B">
      <w:pPr>
        <w:widowControl/>
        <w:spacing w:line="360" w:lineRule="auto"/>
        <w:jc w:val="center"/>
        <w:rPr>
          <w:rFonts w:ascii="宋体"/>
          <w:b/>
          <w:bCs/>
          <w:color w:val="auto"/>
          <w:kern w:val="44"/>
          <w:sz w:val="28"/>
          <w:szCs w:val="28"/>
          <w:highlight w:val="none"/>
        </w:rPr>
      </w:pPr>
      <w:r>
        <w:rPr>
          <w:rFonts w:ascii="宋体" w:hAnsi="宋体" w:cs="宋体"/>
          <w:b/>
          <w:bCs/>
          <w:color w:val="auto"/>
          <w:sz w:val="24"/>
          <w:szCs w:val="24"/>
          <w:highlight w:val="none"/>
        </w:rPr>
        <w:t xml:space="preserve"> </w:t>
      </w:r>
      <w:bookmarkStart w:id="3" w:name="_Toc407261893"/>
      <w:r>
        <w:rPr>
          <w:rFonts w:hint="eastAsia" w:ascii="宋体" w:hAnsi="宋体" w:cs="宋体"/>
          <w:b/>
          <w:bCs/>
          <w:color w:val="auto"/>
          <w:kern w:val="44"/>
          <w:sz w:val="28"/>
          <w:szCs w:val="28"/>
          <w:highlight w:val="none"/>
        </w:rPr>
        <w:t>第二部分</w:t>
      </w:r>
      <w:r>
        <w:rPr>
          <w:rFonts w:ascii="宋体" w:hAnsi="宋体" w:cs="宋体"/>
          <w:b/>
          <w:bCs/>
          <w:color w:val="auto"/>
          <w:kern w:val="44"/>
          <w:sz w:val="28"/>
          <w:szCs w:val="28"/>
          <w:highlight w:val="none"/>
        </w:rPr>
        <w:t xml:space="preserve">  </w:t>
      </w:r>
      <w:r>
        <w:rPr>
          <w:rFonts w:hint="eastAsia" w:ascii="宋体" w:hAnsi="宋体" w:cs="宋体"/>
          <w:b/>
          <w:bCs/>
          <w:color w:val="auto"/>
          <w:kern w:val="44"/>
          <w:sz w:val="28"/>
          <w:szCs w:val="28"/>
          <w:highlight w:val="none"/>
        </w:rPr>
        <w:t>通用合同条款</w:t>
      </w:r>
      <w:bookmarkEnd w:id="3"/>
    </w:p>
    <w:p w14:paraId="658C8E00">
      <w:pPr>
        <w:keepNext/>
        <w:keepLines/>
        <w:spacing w:line="360" w:lineRule="auto"/>
        <w:outlineLvl w:val="1"/>
        <w:rPr>
          <w:rFonts w:ascii="宋体"/>
          <w:color w:val="auto"/>
          <w:sz w:val="24"/>
          <w:szCs w:val="24"/>
          <w:highlight w:val="none"/>
        </w:rPr>
      </w:pPr>
      <w:bookmarkStart w:id="4" w:name="_Toc407261894"/>
      <w:r>
        <w:rPr>
          <w:rFonts w:ascii="宋体" w:hAnsi="宋体" w:cs="宋体"/>
          <w:color w:val="auto"/>
          <w:sz w:val="24"/>
          <w:szCs w:val="24"/>
          <w:highlight w:val="none"/>
        </w:rPr>
        <w:t>1.</w:t>
      </w:r>
      <w:bookmarkStart w:id="5" w:name="_Toc303538974"/>
      <w:bookmarkEnd w:id="5"/>
      <w:bookmarkStart w:id="6" w:name="_Toc303538973"/>
      <w:bookmarkEnd w:id="6"/>
      <w:bookmarkStart w:id="7" w:name="_Toc303538972"/>
      <w:bookmarkEnd w:id="7"/>
      <w:bookmarkStart w:id="8" w:name="_Toc303538975"/>
      <w:bookmarkEnd w:id="8"/>
      <w:bookmarkStart w:id="9" w:name="_Toc303538976"/>
      <w:bookmarkEnd w:id="9"/>
      <w:bookmarkStart w:id="10" w:name="_Toc296346528"/>
      <w:bookmarkStart w:id="11" w:name="_Toc296503027"/>
      <w:r>
        <w:rPr>
          <w:rFonts w:ascii="宋体" w:hAnsi="宋体" w:cs="宋体"/>
          <w:color w:val="auto"/>
          <w:sz w:val="24"/>
          <w:szCs w:val="24"/>
          <w:highlight w:val="none"/>
        </w:rPr>
        <w:t xml:space="preserve"> </w:t>
      </w:r>
      <w:r>
        <w:rPr>
          <w:rFonts w:hint="eastAsia" w:ascii="宋体" w:hAnsi="宋体" w:cs="宋体"/>
          <w:color w:val="auto"/>
          <w:sz w:val="24"/>
          <w:szCs w:val="24"/>
          <w:highlight w:val="none"/>
        </w:rPr>
        <w:t>一般约定</w:t>
      </w:r>
      <w:bookmarkEnd w:id="4"/>
      <w:bookmarkEnd w:id="10"/>
      <w:bookmarkEnd w:id="11"/>
    </w:p>
    <w:p w14:paraId="0264D13F">
      <w:pPr>
        <w:keepNext/>
        <w:keepLines/>
        <w:spacing w:line="360" w:lineRule="auto"/>
        <w:ind w:left="630" w:leftChars="300"/>
        <w:outlineLvl w:val="2"/>
        <w:rPr>
          <w:rFonts w:ascii="宋体"/>
          <w:b/>
          <w:bCs/>
          <w:color w:val="auto"/>
          <w:sz w:val="24"/>
          <w:szCs w:val="24"/>
          <w:highlight w:val="none"/>
        </w:rPr>
      </w:pPr>
      <w:bookmarkStart w:id="12" w:name="_Toc296346529"/>
      <w:bookmarkStart w:id="13" w:name="_Toc337558728"/>
      <w:bookmarkStart w:id="14" w:name="_Toc296503028"/>
      <w:bookmarkStart w:id="15" w:name="_Toc407261895"/>
      <w:r>
        <w:rPr>
          <w:rFonts w:ascii="宋体" w:hAnsi="宋体" w:cs="宋体"/>
          <w:b/>
          <w:bCs/>
          <w:color w:val="auto"/>
          <w:sz w:val="24"/>
          <w:szCs w:val="24"/>
          <w:highlight w:val="none"/>
        </w:rPr>
        <w:t xml:space="preserve">1.1 </w:t>
      </w:r>
      <w:r>
        <w:rPr>
          <w:rFonts w:hint="eastAsia" w:ascii="宋体" w:hAnsi="宋体" w:cs="宋体"/>
          <w:b/>
          <w:bCs/>
          <w:color w:val="auto"/>
          <w:sz w:val="24"/>
          <w:szCs w:val="24"/>
          <w:highlight w:val="none"/>
        </w:rPr>
        <w:t>词语定义</w:t>
      </w:r>
      <w:bookmarkEnd w:id="12"/>
      <w:bookmarkEnd w:id="13"/>
      <w:bookmarkEnd w:id="14"/>
      <w:r>
        <w:rPr>
          <w:rFonts w:hint="eastAsia" w:ascii="宋体" w:hAnsi="宋体" w:cs="宋体"/>
          <w:b/>
          <w:bCs/>
          <w:color w:val="auto"/>
          <w:sz w:val="24"/>
          <w:szCs w:val="24"/>
          <w:highlight w:val="none"/>
        </w:rPr>
        <w:t>与解释</w:t>
      </w:r>
      <w:bookmarkEnd w:id="15"/>
    </w:p>
    <w:p w14:paraId="654C6CC7">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合同协议书、通用合同条款、专用合同条款中的下列词语具有本款所赋予的含义：</w:t>
      </w:r>
    </w:p>
    <w:p w14:paraId="1A677BE4">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1.1.1 </w:t>
      </w:r>
      <w:r>
        <w:rPr>
          <w:rFonts w:hint="eastAsia" w:ascii="宋体" w:hAnsi="宋体" w:cs="宋体"/>
          <w:color w:val="auto"/>
          <w:sz w:val="24"/>
          <w:szCs w:val="24"/>
          <w:highlight w:val="none"/>
        </w:rPr>
        <w:t>委托人：是指与咨询人签订合同协议书的当事人及取得该当事人资格的合法继承人。</w:t>
      </w:r>
    </w:p>
    <w:p w14:paraId="13F3632F">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1.1.2 </w:t>
      </w:r>
      <w:r>
        <w:rPr>
          <w:rFonts w:hint="eastAsia" w:ascii="宋体" w:hAnsi="宋体" w:cs="宋体"/>
          <w:color w:val="auto"/>
          <w:sz w:val="24"/>
          <w:szCs w:val="24"/>
          <w:highlight w:val="none"/>
        </w:rPr>
        <w:t>咨询人：是指与委托人签订合同协议书的，具有相应工程造价咨询资质的当事人及取得该当事人资格的合法继承人。</w:t>
      </w:r>
    </w:p>
    <w:p w14:paraId="31C953C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1.1.3 </w:t>
      </w:r>
      <w:r>
        <w:rPr>
          <w:rFonts w:hint="eastAsia" w:ascii="宋体" w:hAnsi="宋体" w:cs="宋体"/>
          <w:color w:val="auto"/>
          <w:sz w:val="24"/>
          <w:szCs w:val="24"/>
          <w:highlight w:val="none"/>
        </w:rPr>
        <w:t>第三人：是指除委托人、咨询人以外与本咨询业务有关的当事人。</w:t>
      </w:r>
    </w:p>
    <w:p w14:paraId="11626C96">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1.1.4 </w:t>
      </w:r>
      <w:r>
        <w:rPr>
          <w:rFonts w:hint="eastAsia" w:ascii="宋体" w:hAnsi="宋体" w:cs="宋体"/>
          <w:color w:val="auto"/>
          <w:sz w:val="24"/>
          <w:szCs w:val="24"/>
          <w:highlight w:val="none"/>
        </w:rPr>
        <w:t>工程造价咨询：是指咨询人接受委托人的委托，运用工程造价的专业技能，为建设项目决策、设计、交易、实施、结算等各个阶段工程计价和工程造价管理提供的有偿服务。</w:t>
      </w:r>
    </w:p>
    <w:p w14:paraId="4FACB37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1.1.5 </w:t>
      </w:r>
      <w:r>
        <w:rPr>
          <w:rFonts w:hint="eastAsia" w:ascii="宋体" w:hAnsi="宋体" w:cs="宋体"/>
          <w:color w:val="auto"/>
          <w:sz w:val="24"/>
          <w:szCs w:val="24"/>
          <w:highlight w:val="none"/>
        </w:rPr>
        <w:t>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w:t>
      </w:r>
      <w:r>
        <w:rPr>
          <w:rFonts w:ascii="宋体" w:hAnsi="宋体" w:cs="宋体"/>
          <w:color w:val="auto"/>
          <w:sz w:val="24"/>
          <w:szCs w:val="24"/>
          <w:highlight w:val="none"/>
        </w:rPr>
        <w:t xml:space="preserve"> </w:t>
      </w:r>
    </w:p>
    <w:p w14:paraId="437753EA">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1.1.6 </w:t>
      </w:r>
      <w:r>
        <w:rPr>
          <w:rFonts w:hint="eastAsia" w:ascii="宋体" w:hAnsi="宋体" w:cs="宋体"/>
          <w:color w:val="auto"/>
          <w:sz w:val="24"/>
          <w:szCs w:val="24"/>
          <w:highlight w:val="none"/>
        </w:rPr>
        <w:t>综合误差率：是指工程造价咨询成果文件中审查出的编制错误的累计金额与最终修正后造价总额的比率。</w:t>
      </w:r>
    </w:p>
    <w:p w14:paraId="11D34256">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1.1.7 </w:t>
      </w:r>
      <w:r>
        <w:rPr>
          <w:rFonts w:hint="eastAsia" w:ascii="宋体" w:hAnsi="宋体" w:cs="宋体"/>
          <w:color w:val="auto"/>
          <w:sz w:val="24"/>
          <w:szCs w:val="24"/>
          <w:highlight w:val="none"/>
        </w:rPr>
        <w:t>酬金：是指咨询人履行本合同义务，委托人按照本合同约定给付咨询人的金额。</w:t>
      </w:r>
    </w:p>
    <w:p w14:paraId="6A53CB55">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1.1.8 </w:t>
      </w:r>
      <w:r>
        <w:rPr>
          <w:rFonts w:hint="eastAsia" w:ascii="宋体" w:hAnsi="宋体" w:cs="宋体"/>
          <w:color w:val="auto"/>
          <w:sz w:val="24"/>
          <w:szCs w:val="24"/>
          <w:highlight w:val="none"/>
        </w:rPr>
        <w:t>费用：是指不包含在酬金之内应由委托人承担的经济支出。</w:t>
      </w:r>
    </w:p>
    <w:p w14:paraId="267D2D01">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1.1.9 </w:t>
      </w:r>
      <w:r>
        <w:rPr>
          <w:rFonts w:hint="eastAsia" w:ascii="宋体" w:hAnsi="宋体" w:cs="宋体"/>
          <w:color w:val="auto"/>
          <w:sz w:val="24"/>
          <w:szCs w:val="24"/>
          <w:highlight w:val="none"/>
        </w:rPr>
        <w:t>书面形式：是指合同书、信件和数据电文等可以有形地表现所载内容的形式。</w:t>
      </w:r>
    </w:p>
    <w:p w14:paraId="68064A88">
      <w:pPr>
        <w:keepNext/>
        <w:keepLines/>
        <w:spacing w:line="360" w:lineRule="auto"/>
        <w:ind w:left="630" w:leftChars="300"/>
        <w:outlineLvl w:val="2"/>
        <w:rPr>
          <w:rFonts w:ascii="宋体"/>
          <w:b/>
          <w:bCs/>
          <w:color w:val="auto"/>
          <w:sz w:val="24"/>
          <w:szCs w:val="24"/>
          <w:highlight w:val="none"/>
        </w:rPr>
      </w:pPr>
      <w:bookmarkStart w:id="16" w:name="_Toc337558729"/>
      <w:bookmarkStart w:id="17" w:name="_Toc296346530"/>
      <w:bookmarkStart w:id="18" w:name="_Toc407261896"/>
      <w:bookmarkStart w:id="19" w:name="_Toc296503029"/>
      <w:r>
        <w:rPr>
          <w:rFonts w:ascii="宋体" w:hAnsi="宋体" w:cs="宋体"/>
          <w:b/>
          <w:bCs/>
          <w:color w:val="auto"/>
          <w:sz w:val="24"/>
          <w:szCs w:val="24"/>
          <w:highlight w:val="none"/>
        </w:rPr>
        <w:t xml:space="preserve">1.2 </w:t>
      </w:r>
      <w:r>
        <w:rPr>
          <w:rFonts w:hint="eastAsia" w:ascii="宋体" w:hAnsi="宋体" w:cs="宋体"/>
          <w:b/>
          <w:bCs/>
          <w:color w:val="auto"/>
          <w:sz w:val="24"/>
          <w:szCs w:val="24"/>
          <w:highlight w:val="none"/>
        </w:rPr>
        <w:t>语言文字</w:t>
      </w:r>
      <w:bookmarkEnd w:id="16"/>
      <w:bookmarkEnd w:id="17"/>
      <w:bookmarkEnd w:id="18"/>
      <w:bookmarkEnd w:id="19"/>
    </w:p>
    <w:p w14:paraId="2A5C5674">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合同以中国的汉语简体文字编写、解释和说明。合同当事人在专用合同条款中约定使用两种以上语言时，汉语为优先解释和说明合同的语言。</w:t>
      </w:r>
    </w:p>
    <w:p w14:paraId="138CA0EC">
      <w:pPr>
        <w:keepNext/>
        <w:keepLines/>
        <w:spacing w:line="360" w:lineRule="auto"/>
        <w:ind w:left="630" w:leftChars="300"/>
        <w:outlineLvl w:val="2"/>
        <w:rPr>
          <w:rFonts w:ascii="宋体"/>
          <w:b/>
          <w:bCs/>
          <w:color w:val="auto"/>
          <w:sz w:val="24"/>
          <w:szCs w:val="24"/>
          <w:highlight w:val="none"/>
        </w:rPr>
      </w:pPr>
      <w:bookmarkStart w:id="20" w:name="_Toc337558730"/>
      <w:bookmarkStart w:id="21" w:name="_Toc296346531"/>
      <w:bookmarkStart w:id="22" w:name="_Toc296503030"/>
      <w:bookmarkStart w:id="23" w:name="_Toc407261897"/>
      <w:r>
        <w:rPr>
          <w:rFonts w:ascii="宋体" w:hAnsi="宋体" w:cs="宋体"/>
          <w:b/>
          <w:bCs/>
          <w:color w:val="auto"/>
          <w:sz w:val="24"/>
          <w:szCs w:val="24"/>
          <w:highlight w:val="none"/>
        </w:rPr>
        <w:t xml:space="preserve">1.3 </w:t>
      </w:r>
      <w:r>
        <w:rPr>
          <w:rFonts w:hint="eastAsia" w:ascii="宋体" w:hAnsi="宋体" w:cs="宋体"/>
          <w:b/>
          <w:bCs/>
          <w:color w:val="auto"/>
          <w:sz w:val="24"/>
          <w:szCs w:val="24"/>
          <w:highlight w:val="none"/>
        </w:rPr>
        <w:t>法律</w:t>
      </w:r>
      <w:bookmarkEnd w:id="20"/>
      <w:bookmarkEnd w:id="21"/>
      <w:bookmarkEnd w:id="22"/>
      <w:bookmarkEnd w:id="23"/>
    </w:p>
    <w:p w14:paraId="6848EB9D">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合同所称法律是指中华人民共和国法律、行政法规、部门规章，以及本省地方性法规、规章等。</w:t>
      </w:r>
    </w:p>
    <w:p w14:paraId="13C8D4E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合同当事人可以在专用合同条款中约定合同适用的其他规范性文件。</w:t>
      </w:r>
    </w:p>
    <w:p w14:paraId="6C265EEB">
      <w:pPr>
        <w:keepNext/>
        <w:keepLines/>
        <w:spacing w:line="360" w:lineRule="auto"/>
        <w:ind w:left="630" w:leftChars="300"/>
        <w:outlineLvl w:val="2"/>
        <w:rPr>
          <w:rFonts w:ascii="宋体"/>
          <w:b/>
          <w:bCs/>
          <w:color w:val="auto"/>
          <w:sz w:val="24"/>
          <w:szCs w:val="24"/>
          <w:highlight w:val="none"/>
        </w:rPr>
      </w:pPr>
      <w:bookmarkStart w:id="24" w:name="_Toc407261898"/>
      <w:r>
        <w:rPr>
          <w:rFonts w:ascii="宋体" w:hAnsi="宋体" w:cs="宋体"/>
          <w:b/>
          <w:bCs/>
          <w:color w:val="auto"/>
          <w:sz w:val="24"/>
          <w:szCs w:val="24"/>
          <w:highlight w:val="none"/>
        </w:rPr>
        <w:t xml:space="preserve">1.4 </w:t>
      </w:r>
      <w:r>
        <w:rPr>
          <w:rFonts w:hint="eastAsia" w:ascii="宋体" w:hAnsi="宋体" w:cs="宋体"/>
          <w:b/>
          <w:bCs/>
          <w:color w:val="auto"/>
          <w:sz w:val="24"/>
          <w:szCs w:val="24"/>
          <w:highlight w:val="none"/>
        </w:rPr>
        <w:t>标准和规范</w:t>
      </w:r>
      <w:bookmarkEnd w:id="24"/>
    </w:p>
    <w:p w14:paraId="51A2D8A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适用于工程造价咨询的国家标准、行业标准、本省地方性标准，以及相应的规范、规程等，合同当事人有特别要求的，应在专用合同条款中约定。</w:t>
      </w:r>
    </w:p>
    <w:p w14:paraId="17A87907">
      <w:pPr>
        <w:keepNext/>
        <w:keepLines/>
        <w:spacing w:line="360" w:lineRule="auto"/>
        <w:ind w:left="630" w:leftChars="300"/>
        <w:outlineLvl w:val="2"/>
        <w:rPr>
          <w:rFonts w:ascii="宋体"/>
          <w:b/>
          <w:bCs/>
          <w:color w:val="auto"/>
          <w:sz w:val="24"/>
          <w:szCs w:val="24"/>
          <w:highlight w:val="none"/>
        </w:rPr>
      </w:pPr>
      <w:bookmarkStart w:id="25" w:name="_Toc407261899"/>
      <w:r>
        <w:rPr>
          <w:rFonts w:ascii="宋体" w:hAnsi="宋体" w:cs="宋体"/>
          <w:b/>
          <w:bCs/>
          <w:color w:val="auto"/>
          <w:sz w:val="24"/>
          <w:szCs w:val="24"/>
          <w:highlight w:val="none"/>
        </w:rPr>
        <w:t>1</w:t>
      </w:r>
      <w:bookmarkStart w:id="26" w:name="_Toc296346532"/>
      <w:bookmarkStart w:id="27" w:name="_Toc296503031"/>
      <w:bookmarkStart w:id="28" w:name="_Toc337558731"/>
      <w:r>
        <w:rPr>
          <w:rFonts w:ascii="宋体" w:hAnsi="宋体" w:cs="宋体"/>
          <w:b/>
          <w:bCs/>
          <w:color w:val="auto"/>
          <w:sz w:val="24"/>
          <w:szCs w:val="24"/>
          <w:highlight w:val="none"/>
        </w:rPr>
        <w:t xml:space="preserve">.5 </w:t>
      </w:r>
      <w:r>
        <w:rPr>
          <w:rFonts w:hint="eastAsia" w:ascii="宋体" w:hAnsi="宋体" w:cs="宋体"/>
          <w:b/>
          <w:bCs/>
          <w:color w:val="auto"/>
          <w:sz w:val="24"/>
          <w:szCs w:val="24"/>
          <w:highlight w:val="none"/>
        </w:rPr>
        <w:t>合同文件的优先顺序</w:t>
      </w:r>
      <w:bookmarkEnd w:id="25"/>
    </w:p>
    <w:bookmarkEnd w:id="26"/>
    <w:bookmarkEnd w:id="27"/>
    <w:bookmarkEnd w:id="28"/>
    <w:p w14:paraId="15E796C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组成合同的各项文件应互相解释，互为说明。除专用合同条款另有约定外，解释合同文件的优先顺序如下：</w:t>
      </w:r>
    </w:p>
    <w:p w14:paraId="637F5F65">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合同协议书；</w:t>
      </w:r>
    </w:p>
    <w:p w14:paraId="23FAC380">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中标通知书；</w:t>
      </w:r>
    </w:p>
    <w:p w14:paraId="1F9A4DC6">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投标函及其附录（如果有）；</w:t>
      </w:r>
    </w:p>
    <w:p w14:paraId="1588AC16">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专用合同条款；</w:t>
      </w:r>
    </w:p>
    <w:p w14:paraId="71540E71">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通用合同条款。</w:t>
      </w:r>
    </w:p>
    <w:p w14:paraId="19B47DC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w:t>
      </w:r>
    </w:p>
    <w:p w14:paraId="4160DA12">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在合同订立及履行过程中形成的与合同有关的文件均构成合同文件组成部分，并根据其性质确定优先解释顺序。</w:t>
      </w:r>
    </w:p>
    <w:p w14:paraId="169B2063">
      <w:pPr>
        <w:keepNext/>
        <w:keepLines/>
        <w:spacing w:line="360" w:lineRule="auto"/>
        <w:ind w:left="630" w:leftChars="300"/>
        <w:outlineLvl w:val="2"/>
        <w:rPr>
          <w:rFonts w:ascii="宋体"/>
          <w:b/>
          <w:bCs/>
          <w:color w:val="auto"/>
          <w:sz w:val="24"/>
          <w:szCs w:val="24"/>
          <w:highlight w:val="none"/>
        </w:rPr>
      </w:pPr>
      <w:bookmarkStart w:id="29" w:name="_Toc351203502"/>
      <w:bookmarkStart w:id="30" w:name="_Toc407261900"/>
      <w:r>
        <w:rPr>
          <w:rFonts w:ascii="宋体" w:hAnsi="宋体" w:cs="宋体"/>
          <w:b/>
          <w:bCs/>
          <w:color w:val="auto"/>
          <w:sz w:val="24"/>
          <w:szCs w:val="24"/>
          <w:highlight w:val="none"/>
        </w:rPr>
        <w:t>1</w:t>
      </w:r>
      <w:bookmarkStart w:id="31" w:name="_Toc296503033"/>
      <w:bookmarkStart w:id="32" w:name="_Toc337558733"/>
      <w:bookmarkStart w:id="33" w:name="_Toc296346534"/>
      <w:r>
        <w:rPr>
          <w:rFonts w:ascii="宋体" w:hAnsi="宋体" w:cs="宋体"/>
          <w:b/>
          <w:bCs/>
          <w:color w:val="auto"/>
          <w:sz w:val="24"/>
          <w:szCs w:val="24"/>
          <w:highlight w:val="none"/>
        </w:rPr>
        <w:t xml:space="preserve">.6 </w:t>
      </w:r>
      <w:r>
        <w:rPr>
          <w:rFonts w:hint="eastAsia" w:ascii="宋体" w:hAnsi="宋体" w:cs="宋体"/>
          <w:b/>
          <w:bCs/>
          <w:color w:val="auto"/>
          <w:sz w:val="24"/>
          <w:szCs w:val="24"/>
          <w:highlight w:val="none"/>
        </w:rPr>
        <w:t>联络</w:t>
      </w:r>
      <w:bookmarkEnd w:id="29"/>
      <w:bookmarkEnd w:id="30"/>
    </w:p>
    <w:bookmarkEnd w:id="31"/>
    <w:bookmarkEnd w:id="32"/>
    <w:bookmarkEnd w:id="33"/>
    <w:p w14:paraId="32F41ADF">
      <w:pPr>
        <w:autoSpaceDE w:val="0"/>
        <w:autoSpaceDN w:val="0"/>
        <w:adjustRightInd w:val="0"/>
        <w:spacing w:line="360" w:lineRule="auto"/>
        <w:ind w:firstLine="480" w:firstLineChars="200"/>
        <w:rPr>
          <w:rFonts w:ascii="宋体"/>
          <w:color w:val="auto"/>
          <w:kern w:val="0"/>
          <w:sz w:val="24"/>
          <w:szCs w:val="24"/>
          <w:highlight w:val="none"/>
        </w:rPr>
      </w:pPr>
      <w:r>
        <w:rPr>
          <w:rFonts w:ascii="宋体" w:hAnsi="宋体" w:cs="宋体"/>
          <w:color w:val="auto"/>
          <w:sz w:val="24"/>
          <w:szCs w:val="24"/>
          <w:highlight w:val="none"/>
        </w:rPr>
        <w:t>1.6.1</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与合同有关的通知、批准、证明、证书、指示、指令、要求、请求、同意、意见、确定和决定等，均应采用书面形式，并应在合同约定的期限内送达接收人和送达地点。</w:t>
      </w:r>
    </w:p>
    <w:p w14:paraId="0C6A6B4E">
      <w:pPr>
        <w:autoSpaceDE w:val="0"/>
        <w:autoSpaceDN w:val="0"/>
        <w:adjustRightInd w:val="0"/>
        <w:spacing w:line="360" w:lineRule="auto"/>
        <w:ind w:firstLine="480" w:firstLineChars="200"/>
        <w:rPr>
          <w:rFonts w:ascii="宋体"/>
          <w:color w:val="auto"/>
          <w:kern w:val="0"/>
          <w:sz w:val="24"/>
          <w:szCs w:val="24"/>
          <w:highlight w:val="none"/>
        </w:rPr>
      </w:pPr>
      <w:r>
        <w:rPr>
          <w:rFonts w:ascii="宋体" w:hAnsi="宋体" w:cs="宋体"/>
          <w:color w:val="auto"/>
          <w:sz w:val="24"/>
          <w:szCs w:val="24"/>
          <w:highlight w:val="none"/>
        </w:rPr>
        <w:t>1.6.2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委托人和咨询人应在专用合同条款中约定各自的送达接收人、送达地点、电子邮箱。任何一方合同当事人指定的接收人或送达地点或电子邮箱发生变动的，应提前</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天以书面形式通知对方。</w:t>
      </w:r>
    </w:p>
    <w:p w14:paraId="1AB79987">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1.6.3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委托人和咨询人应当及时签收另一方送达至送达地点和指定接收人的来往信函。拒不签收的，由此增加的费用和延误的咨询期限由拒绝接收一方承担。</w:t>
      </w:r>
    </w:p>
    <w:p w14:paraId="788C761A">
      <w:pPr>
        <w:keepNext/>
        <w:keepLines/>
        <w:spacing w:line="360" w:lineRule="auto"/>
        <w:ind w:left="630" w:leftChars="300"/>
        <w:outlineLvl w:val="2"/>
        <w:rPr>
          <w:rFonts w:ascii="宋体"/>
          <w:b/>
          <w:bCs/>
          <w:color w:val="auto"/>
          <w:sz w:val="24"/>
          <w:szCs w:val="24"/>
          <w:highlight w:val="none"/>
        </w:rPr>
      </w:pPr>
      <w:bookmarkStart w:id="34" w:name="_Toc407261901"/>
      <w:r>
        <w:rPr>
          <w:rFonts w:ascii="宋体" w:hAnsi="宋体" w:cs="宋体"/>
          <w:b/>
          <w:bCs/>
          <w:color w:val="auto"/>
          <w:sz w:val="24"/>
          <w:szCs w:val="24"/>
          <w:highlight w:val="none"/>
        </w:rPr>
        <w:t xml:space="preserve">1.7 </w:t>
      </w:r>
      <w:r>
        <w:rPr>
          <w:rFonts w:hint="eastAsia" w:ascii="宋体" w:hAnsi="宋体" w:cs="宋体"/>
          <w:b/>
          <w:bCs/>
          <w:color w:val="auto"/>
          <w:sz w:val="24"/>
          <w:szCs w:val="24"/>
          <w:highlight w:val="none"/>
        </w:rPr>
        <w:t>守法诚信</w:t>
      </w:r>
      <w:bookmarkEnd w:id="34"/>
    </w:p>
    <w:p w14:paraId="28A2F13E">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D0C8AA4">
      <w:pPr>
        <w:keepNext/>
        <w:keepLines/>
        <w:spacing w:line="360" w:lineRule="auto"/>
        <w:ind w:left="630" w:leftChars="300"/>
        <w:outlineLvl w:val="2"/>
        <w:rPr>
          <w:rFonts w:ascii="宋体"/>
          <w:b/>
          <w:bCs/>
          <w:color w:val="auto"/>
          <w:sz w:val="24"/>
          <w:szCs w:val="24"/>
          <w:highlight w:val="none"/>
        </w:rPr>
      </w:pPr>
      <w:bookmarkStart w:id="35" w:name="_Toc407261902"/>
      <w:r>
        <w:rPr>
          <w:rFonts w:ascii="宋体" w:hAnsi="宋体" w:cs="宋体"/>
          <w:b/>
          <w:bCs/>
          <w:color w:val="auto"/>
          <w:sz w:val="24"/>
          <w:szCs w:val="24"/>
          <w:highlight w:val="none"/>
        </w:rPr>
        <w:t xml:space="preserve">1.8 </w:t>
      </w:r>
      <w:r>
        <w:rPr>
          <w:rFonts w:hint="eastAsia" w:ascii="宋体" w:hAnsi="宋体" w:cs="宋体"/>
          <w:b/>
          <w:bCs/>
          <w:color w:val="auto"/>
          <w:sz w:val="24"/>
          <w:szCs w:val="24"/>
          <w:highlight w:val="none"/>
        </w:rPr>
        <w:t>保密</w:t>
      </w:r>
      <w:bookmarkEnd w:id="35"/>
    </w:p>
    <w:p w14:paraId="3A90A982">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37746207">
      <w:pPr>
        <w:keepNext/>
        <w:keepLines/>
        <w:spacing w:line="360" w:lineRule="auto"/>
        <w:outlineLvl w:val="1"/>
        <w:rPr>
          <w:rFonts w:ascii="宋体"/>
          <w:color w:val="auto"/>
          <w:sz w:val="24"/>
          <w:szCs w:val="24"/>
          <w:highlight w:val="none"/>
        </w:rPr>
      </w:pPr>
      <w:bookmarkStart w:id="36" w:name="_Toc407261903"/>
      <w:r>
        <w:rPr>
          <w:rFonts w:ascii="宋体" w:hAnsi="宋体" w:cs="宋体"/>
          <w:color w:val="auto"/>
          <w:sz w:val="24"/>
          <w:szCs w:val="24"/>
          <w:highlight w:val="none"/>
        </w:rPr>
        <w:t xml:space="preserve">2. </w:t>
      </w:r>
      <w:r>
        <w:rPr>
          <w:rFonts w:hint="eastAsia" w:ascii="宋体" w:hAnsi="宋体" w:cs="宋体"/>
          <w:color w:val="auto"/>
          <w:sz w:val="24"/>
          <w:szCs w:val="24"/>
          <w:highlight w:val="none"/>
        </w:rPr>
        <w:t>委托人</w:t>
      </w:r>
      <w:bookmarkEnd w:id="36"/>
    </w:p>
    <w:p w14:paraId="6005EBFB">
      <w:pPr>
        <w:keepNext/>
        <w:keepLines/>
        <w:spacing w:line="360" w:lineRule="auto"/>
        <w:ind w:left="630" w:leftChars="300"/>
        <w:outlineLvl w:val="2"/>
        <w:rPr>
          <w:rFonts w:ascii="宋体"/>
          <w:b/>
          <w:bCs/>
          <w:color w:val="auto"/>
          <w:sz w:val="24"/>
          <w:szCs w:val="24"/>
          <w:highlight w:val="none"/>
        </w:rPr>
      </w:pPr>
      <w:bookmarkStart w:id="37" w:name="_Toc407261904"/>
      <w:r>
        <w:rPr>
          <w:rFonts w:ascii="宋体" w:hAnsi="宋体" w:cs="宋体"/>
          <w:b/>
          <w:bCs/>
          <w:color w:val="auto"/>
          <w:sz w:val="24"/>
          <w:szCs w:val="24"/>
          <w:highlight w:val="none"/>
        </w:rPr>
        <w:t xml:space="preserve">2.1 </w:t>
      </w:r>
      <w:r>
        <w:rPr>
          <w:rFonts w:hint="eastAsia" w:ascii="宋体" w:hAnsi="宋体" w:cs="宋体"/>
          <w:b/>
          <w:bCs/>
          <w:color w:val="auto"/>
          <w:sz w:val="24"/>
          <w:szCs w:val="24"/>
          <w:highlight w:val="none"/>
        </w:rPr>
        <w:t>委托人代表</w:t>
      </w:r>
      <w:bookmarkEnd w:id="37"/>
    </w:p>
    <w:p w14:paraId="6A8B80F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w:t>
      </w:r>
      <w:r>
        <w:rPr>
          <w:rFonts w:ascii="宋体" w:hAnsi="宋体" w:cs="宋体"/>
          <w:color w:val="auto"/>
          <w:sz w:val="24"/>
          <w:szCs w:val="24"/>
          <w:highlight w:val="none"/>
        </w:rPr>
        <w:t>7</w:t>
      </w:r>
      <w:r>
        <w:rPr>
          <w:rFonts w:hint="eastAsia" w:ascii="宋体" w:hAnsi="宋体" w:cs="宋体"/>
          <w:color w:val="auto"/>
          <w:sz w:val="24"/>
          <w:szCs w:val="24"/>
          <w:highlight w:val="none"/>
        </w:rPr>
        <w:t>天书面通知咨询人。</w:t>
      </w:r>
    </w:p>
    <w:p w14:paraId="1931ACB4">
      <w:pPr>
        <w:keepNext/>
        <w:keepLines/>
        <w:spacing w:line="360" w:lineRule="auto"/>
        <w:ind w:left="630" w:leftChars="300"/>
        <w:outlineLvl w:val="2"/>
        <w:rPr>
          <w:rFonts w:ascii="宋体"/>
          <w:b/>
          <w:bCs/>
          <w:color w:val="auto"/>
          <w:sz w:val="24"/>
          <w:szCs w:val="24"/>
          <w:highlight w:val="none"/>
        </w:rPr>
      </w:pPr>
      <w:bookmarkStart w:id="38" w:name="_Toc407261905"/>
      <w:r>
        <w:rPr>
          <w:rFonts w:ascii="宋体" w:hAnsi="宋体" w:cs="宋体"/>
          <w:b/>
          <w:bCs/>
          <w:color w:val="auto"/>
          <w:sz w:val="24"/>
          <w:szCs w:val="24"/>
          <w:highlight w:val="none"/>
        </w:rPr>
        <w:t xml:space="preserve">2.2 </w:t>
      </w:r>
      <w:r>
        <w:rPr>
          <w:rFonts w:hint="eastAsia" w:ascii="宋体" w:hAnsi="宋体" w:cs="宋体"/>
          <w:b/>
          <w:bCs/>
          <w:color w:val="auto"/>
          <w:sz w:val="24"/>
          <w:szCs w:val="24"/>
          <w:highlight w:val="none"/>
        </w:rPr>
        <w:t>提供资料</w:t>
      </w:r>
      <w:bookmarkEnd w:id="38"/>
    </w:p>
    <w:p w14:paraId="5769FF6C">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594CB5DD">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531ED3F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委托人未能按合同约定及时向咨询人提供咨询资料的，由委托人承担由此增加的费用和延误的咨询期限。</w:t>
      </w:r>
    </w:p>
    <w:p w14:paraId="18687720">
      <w:pPr>
        <w:keepNext/>
        <w:keepLines/>
        <w:spacing w:line="360" w:lineRule="auto"/>
        <w:ind w:left="630" w:leftChars="300"/>
        <w:outlineLvl w:val="2"/>
        <w:rPr>
          <w:rFonts w:ascii="宋体"/>
          <w:b/>
          <w:bCs/>
          <w:color w:val="auto"/>
          <w:sz w:val="24"/>
          <w:szCs w:val="24"/>
          <w:highlight w:val="none"/>
        </w:rPr>
      </w:pPr>
      <w:bookmarkStart w:id="39" w:name="_Toc407261906"/>
      <w:r>
        <w:rPr>
          <w:rFonts w:ascii="宋体" w:hAnsi="宋体" w:cs="宋体"/>
          <w:b/>
          <w:bCs/>
          <w:color w:val="auto"/>
          <w:sz w:val="24"/>
          <w:szCs w:val="24"/>
          <w:highlight w:val="none"/>
        </w:rPr>
        <w:t xml:space="preserve">2.3 </w:t>
      </w:r>
      <w:r>
        <w:rPr>
          <w:rFonts w:hint="eastAsia" w:ascii="宋体" w:hAnsi="宋体" w:cs="宋体"/>
          <w:b/>
          <w:bCs/>
          <w:color w:val="auto"/>
          <w:sz w:val="24"/>
          <w:szCs w:val="24"/>
          <w:highlight w:val="none"/>
        </w:rPr>
        <w:t>提供工作条件</w:t>
      </w:r>
      <w:bookmarkEnd w:id="39"/>
    </w:p>
    <w:p w14:paraId="6698AE7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2.3.1 </w:t>
      </w:r>
      <w:r>
        <w:rPr>
          <w:rFonts w:hint="eastAsia" w:ascii="宋体" w:hAnsi="宋体" w:cs="宋体"/>
          <w:color w:val="auto"/>
          <w:sz w:val="24"/>
          <w:szCs w:val="24"/>
          <w:highlight w:val="none"/>
        </w:rPr>
        <w:t>委托人应负责与本工程造价咨询业务有关的第三人的协调，为咨询人履行本合同提供必要的外部条件。</w:t>
      </w:r>
    </w:p>
    <w:p w14:paraId="724D9D25">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2.3.2 </w:t>
      </w:r>
      <w:r>
        <w:rPr>
          <w:rFonts w:hint="eastAsia" w:ascii="宋体" w:hAnsi="宋体" w:cs="宋体"/>
          <w:color w:val="auto"/>
          <w:sz w:val="24"/>
          <w:szCs w:val="24"/>
          <w:highlight w:val="none"/>
        </w:rPr>
        <w:t>咨询人接受委托实施施工阶段全过程造价管理咨询工作的，委托人应当在施工现场为咨询人提供必要的办公用房、办公家具，供咨询人使用。</w:t>
      </w:r>
    </w:p>
    <w:p w14:paraId="7E18ED11">
      <w:pPr>
        <w:keepNext/>
        <w:keepLines/>
        <w:spacing w:line="360" w:lineRule="auto"/>
        <w:ind w:left="630" w:leftChars="300"/>
        <w:outlineLvl w:val="2"/>
        <w:rPr>
          <w:rFonts w:ascii="宋体"/>
          <w:b/>
          <w:bCs/>
          <w:color w:val="auto"/>
          <w:sz w:val="24"/>
          <w:szCs w:val="24"/>
          <w:highlight w:val="none"/>
        </w:rPr>
      </w:pPr>
      <w:bookmarkStart w:id="40" w:name="_Toc407261907"/>
      <w:r>
        <w:rPr>
          <w:rFonts w:ascii="宋体" w:hAnsi="宋体" w:cs="宋体"/>
          <w:b/>
          <w:bCs/>
          <w:color w:val="auto"/>
          <w:sz w:val="24"/>
          <w:szCs w:val="24"/>
          <w:highlight w:val="none"/>
        </w:rPr>
        <w:t xml:space="preserve">2.4 </w:t>
      </w:r>
      <w:r>
        <w:rPr>
          <w:rFonts w:hint="eastAsia" w:ascii="宋体" w:hAnsi="宋体" w:cs="宋体"/>
          <w:b/>
          <w:bCs/>
          <w:color w:val="auto"/>
          <w:sz w:val="24"/>
          <w:szCs w:val="24"/>
          <w:highlight w:val="none"/>
        </w:rPr>
        <w:t>答复</w:t>
      </w:r>
      <w:bookmarkEnd w:id="40"/>
    </w:p>
    <w:p w14:paraId="1358F52A">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2.4.1 </w:t>
      </w:r>
      <w:r>
        <w:rPr>
          <w:rFonts w:hint="eastAsia" w:ascii="宋体" w:hAnsi="宋体" w:cs="宋体"/>
          <w:color w:val="auto"/>
          <w:sz w:val="24"/>
          <w:szCs w:val="24"/>
          <w:highlight w:val="none"/>
        </w:rPr>
        <w:t>委托人应在专用合同条款约定的时间内，对咨询人以书面形式提交并要求作出决定的事宜，给予书面答复。委托人逾期未答复，影响咨询工作正常开展的，由委托人承担由此增加的费用和延误的咨询期限。</w:t>
      </w:r>
    </w:p>
    <w:p w14:paraId="5007F41D">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2.4.2 </w:t>
      </w:r>
      <w:r>
        <w:rPr>
          <w:rFonts w:hint="eastAsia" w:ascii="宋体" w:hAnsi="宋体" w:cs="宋体"/>
          <w:color w:val="auto"/>
          <w:sz w:val="24"/>
          <w:szCs w:val="24"/>
          <w:highlight w:val="none"/>
        </w:rPr>
        <w:t>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1FBA04B3">
      <w:pPr>
        <w:keepNext/>
        <w:keepLines/>
        <w:spacing w:line="360" w:lineRule="auto"/>
        <w:ind w:left="630" w:leftChars="300"/>
        <w:outlineLvl w:val="2"/>
        <w:rPr>
          <w:rFonts w:ascii="宋体"/>
          <w:b/>
          <w:bCs/>
          <w:color w:val="auto"/>
          <w:sz w:val="24"/>
          <w:szCs w:val="24"/>
          <w:highlight w:val="none"/>
        </w:rPr>
      </w:pPr>
      <w:bookmarkStart w:id="41" w:name="_Toc407261908"/>
      <w:r>
        <w:rPr>
          <w:rFonts w:ascii="宋体" w:hAnsi="宋体" w:cs="宋体"/>
          <w:b/>
          <w:bCs/>
          <w:color w:val="auto"/>
          <w:sz w:val="24"/>
          <w:szCs w:val="24"/>
          <w:highlight w:val="none"/>
        </w:rPr>
        <w:t xml:space="preserve">2.5 </w:t>
      </w:r>
      <w:r>
        <w:rPr>
          <w:rFonts w:hint="eastAsia" w:ascii="宋体" w:hAnsi="宋体" w:cs="宋体"/>
          <w:b/>
          <w:bCs/>
          <w:color w:val="auto"/>
          <w:sz w:val="24"/>
          <w:szCs w:val="24"/>
          <w:highlight w:val="none"/>
        </w:rPr>
        <w:t>支付酬金</w:t>
      </w:r>
      <w:bookmarkEnd w:id="41"/>
    </w:p>
    <w:p w14:paraId="2845238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委托人应按合同约定，向咨询人支付酬金。</w:t>
      </w:r>
    </w:p>
    <w:p w14:paraId="2F3F043F">
      <w:pPr>
        <w:keepNext/>
        <w:keepLines/>
        <w:spacing w:line="360" w:lineRule="auto"/>
        <w:outlineLvl w:val="1"/>
        <w:rPr>
          <w:rFonts w:ascii="宋体"/>
          <w:color w:val="auto"/>
          <w:sz w:val="24"/>
          <w:szCs w:val="24"/>
          <w:highlight w:val="none"/>
        </w:rPr>
      </w:pPr>
      <w:bookmarkStart w:id="42" w:name="_Toc407261909"/>
      <w:r>
        <w:rPr>
          <w:rFonts w:ascii="宋体" w:hAnsi="宋体" w:cs="宋体"/>
          <w:color w:val="auto"/>
          <w:sz w:val="24"/>
          <w:szCs w:val="24"/>
          <w:highlight w:val="none"/>
        </w:rPr>
        <w:t xml:space="preserve">3. </w:t>
      </w:r>
      <w:r>
        <w:rPr>
          <w:rFonts w:hint="eastAsia" w:ascii="宋体" w:hAnsi="宋体" w:cs="宋体"/>
          <w:color w:val="auto"/>
          <w:sz w:val="24"/>
          <w:szCs w:val="24"/>
          <w:highlight w:val="none"/>
        </w:rPr>
        <w:t>咨询人</w:t>
      </w:r>
      <w:bookmarkEnd w:id="42"/>
    </w:p>
    <w:p w14:paraId="0CB34F69">
      <w:pPr>
        <w:keepNext/>
        <w:keepLines/>
        <w:spacing w:line="360" w:lineRule="auto"/>
        <w:ind w:left="630" w:leftChars="300"/>
        <w:outlineLvl w:val="2"/>
        <w:rPr>
          <w:rFonts w:ascii="宋体"/>
          <w:b/>
          <w:bCs/>
          <w:color w:val="auto"/>
          <w:sz w:val="24"/>
          <w:szCs w:val="24"/>
          <w:highlight w:val="none"/>
        </w:rPr>
      </w:pPr>
      <w:bookmarkStart w:id="43" w:name="_Toc383940899"/>
      <w:bookmarkStart w:id="44" w:name="_Toc389602818"/>
      <w:bookmarkStart w:id="45" w:name="_Toc389663475"/>
      <w:bookmarkStart w:id="46" w:name="_Toc384137544"/>
      <w:bookmarkStart w:id="47" w:name="_Toc384026373"/>
      <w:bookmarkStart w:id="48" w:name="_Toc407261910"/>
      <w:r>
        <w:rPr>
          <w:rFonts w:ascii="宋体" w:hAnsi="宋体" w:cs="宋体"/>
          <w:b/>
          <w:bCs/>
          <w:color w:val="auto"/>
          <w:sz w:val="24"/>
          <w:szCs w:val="24"/>
          <w:highlight w:val="none"/>
        </w:rPr>
        <w:t xml:space="preserve">3.1 </w:t>
      </w:r>
      <w:r>
        <w:rPr>
          <w:rFonts w:hint="eastAsia" w:ascii="宋体" w:hAnsi="宋体" w:cs="宋体"/>
          <w:b/>
          <w:bCs/>
          <w:color w:val="auto"/>
          <w:sz w:val="24"/>
          <w:szCs w:val="24"/>
          <w:highlight w:val="none"/>
        </w:rPr>
        <w:t>咨询人的一般义务</w:t>
      </w:r>
      <w:bookmarkEnd w:id="43"/>
      <w:bookmarkEnd w:id="44"/>
      <w:bookmarkEnd w:id="45"/>
      <w:bookmarkEnd w:id="46"/>
      <w:bookmarkEnd w:id="47"/>
      <w:bookmarkEnd w:id="48"/>
    </w:p>
    <w:p w14:paraId="1ABE27A2">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向委托人提供与工程造价咨询业务有关的资料，包括工程造价咨询企业资质证书、承担本合同咨询业务的工程造价专业人员任命文件、工程造价咨询实施方案等。</w:t>
      </w:r>
    </w:p>
    <w:p w14:paraId="1E997146">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3.1.2 </w:t>
      </w:r>
      <w:r>
        <w:rPr>
          <w:rFonts w:hint="eastAsia" w:ascii="宋体" w:hAnsi="宋体" w:cs="宋体"/>
          <w:color w:val="auto"/>
          <w:sz w:val="24"/>
          <w:szCs w:val="24"/>
          <w:highlight w:val="none"/>
        </w:rPr>
        <w:t>踏勘现场，了解情况，收集、整理工程造价咨询项目有关的基础资料和编制依据，进行有效性、合规性核对，保证工程计价基础资料和编制依据的全面性、真实性和有效性。</w:t>
      </w:r>
    </w:p>
    <w:p w14:paraId="7D514567">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3.1.3 </w:t>
      </w:r>
      <w:r>
        <w:rPr>
          <w:rFonts w:hint="eastAsia" w:ascii="宋体" w:hAnsi="宋体" w:cs="宋体"/>
          <w:color w:val="auto"/>
          <w:sz w:val="24"/>
          <w:szCs w:val="24"/>
          <w:highlight w:val="none"/>
        </w:rPr>
        <w:t>按照咨询合同约定的工作范围和内容，编制、审核、审定工程造价咨询成果文件，并在专用合同条款约定的时间内，向委托人提交符合国家、行业规定及合同约定的工程造价咨询成果文件。</w:t>
      </w:r>
    </w:p>
    <w:p w14:paraId="120F357E">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3.1.4 </w:t>
      </w:r>
      <w:r>
        <w:rPr>
          <w:rFonts w:hint="eastAsia" w:ascii="宋体" w:hAnsi="宋体" w:cs="宋体"/>
          <w:color w:val="auto"/>
          <w:sz w:val="24"/>
          <w:szCs w:val="24"/>
          <w:highlight w:val="none"/>
        </w:rPr>
        <w:t>组织咨询服务回访，听取委托人对服务质量的评价意见，及时进行总结，提出相应的改进措施。</w:t>
      </w:r>
    </w:p>
    <w:p w14:paraId="407F86CF">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3.1.5 </w:t>
      </w:r>
      <w:r>
        <w:rPr>
          <w:rFonts w:hint="eastAsia" w:ascii="宋体" w:hAnsi="宋体" w:cs="宋体"/>
          <w:color w:val="auto"/>
          <w:sz w:val="24"/>
          <w:szCs w:val="24"/>
          <w:highlight w:val="none"/>
        </w:rPr>
        <w:t>收集工程造价咨询业务中形成的工程造价咨询过程文件和工程造价咨询成果文件，整理立卷后建立档案。</w:t>
      </w:r>
    </w:p>
    <w:p w14:paraId="74B44B8B">
      <w:pPr>
        <w:keepNext/>
        <w:keepLines/>
        <w:spacing w:line="360" w:lineRule="auto"/>
        <w:ind w:left="630" w:leftChars="300"/>
        <w:outlineLvl w:val="2"/>
        <w:rPr>
          <w:rFonts w:ascii="宋体"/>
          <w:b/>
          <w:bCs/>
          <w:color w:val="auto"/>
          <w:sz w:val="24"/>
          <w:szCs w:val="24"/>
          <w:highlight w:val="none"/>
        </w:rPr>
      </w:pPr>
      <w:bookmarkStart w:id="49" w:name="_Toc407261911"/>
      <w:r>
        <w:rPr>
          <w:rFonts w:ascii="宋体" w:hAnsi="宋体" w:cs="宋体"/>
          <w:b/>
          <w:bCs/>
          <w:color w:val="auto"/>
          <w:sz w:val="24"/>
          <w:szCs w:val="24"/>
          <w:highlight w:val="none"/>
        </w:rPr>
        <w:t xml:space="preserve">3.2 </w:t>
      </w:r>
      <w:r>
        <w:rPr>
          <w:rFonts w:hint="eastAsia" w:ascii="宋体" w:hAnsi="宋体" w:cs="宋体"/>
          <w:b/>
          <w:bCs/>
          <w:color w:val="auto"/>
          <w:sz w:val="24"/>
          <w:szCs w:val="24"/>
          <w:highlight w:val="none"/>
        </w:rPr>
        <w:t>项目负责人</w:t>
      </w:r>
      <w:bookmarkEnd w:id="49"/>
    </w:p>
    <w:p w14:paraId="76CC90DA">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项目负责人应是咨询人正式聘用，与咨询人签订劳动合同，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209A3AB3">
      <w:pPr>
        <w:keepNext/>
        <w:keepLines/>
        <w:spacing w:line="360" w:lineRule="auto"/>
        <w:ind w:left="630" w:leftChars="300"/>
        <w:outlineLvl w:val="2"/>
        <w:rPr>
          <w:rFonts w:ascii="宋体"/>
          <w:b/>
          <w:bCs/>
          <w:color w:val="auto"/>
          <w:sz w:val="24"/>
          <w:szCs w:val="24"/>
          <w:highlight w:val="none"/>
        </w:rPr>
      </w:pPr>
      <w:bookmarkStart w:id="50" w:name="_Toc407261912"/>
      <w:bookmarkStart w:id="51" w:name="_Toc389602820"/>
      <w:bookmarkStart w:id="52" w:name="_Toc389663477"/>
      <w:bookmarkStart w:id="53" w:name="_Toc384026375"/>
      <w:bookmarkStart w:id="54" w:name="_Toc383940901"/>
      <w:bookmarkStart w:id="55" w:name="_Toc384137546"/>
      <w:r>
        <w:rPr>
          <w:rFonts w:ascii="宋体" w:hAnsi="宋体" w:cs="宋体"/>
          <w:b/>
          <w:bCs/>
          <w:color w:val="auto"/>
          <w:sz w:val="24"/>
          <w:szCs w:val="24"/>
          <w:highlight w:val="none"/>
        </w:rPr>
        <w:t xml:space="preserve">3.3 </w:t>
      </w:r>
      <w:r>
        <w:rPr>
          <w:rFonts w:hint="eastAsia" w:ascii="宋体" w:hAnsi="宋体" w:cs="宋体"/>
          <w:b/>
          <w:bCs/>
          <w:color w:val="auto"/>
          <w:sz w:val="24"/>
          <w:szCs w:val="24"/>
          <w:highlight w:val="none"/>
        </w:rPr>
        <w:t>工程造价专业人员</w:t>
      </w:r>
      <w:bookmarkEnd w:id="50"/>
      <w:bookmarkEnd w:id="51"/>
      <w:bookmarkEnd w:id="52"/>
      <w:bookmarkEnd w:id="53"/>
      <w:bookmarkEnd w:id="54"/>
      <w:bookmarkEnd w:id="55"/>
    </w:p>
    <w:p w14:paraId="0AF458CE">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3.3.1 </w:t>
      </w:r>
      <w:r>
        <w:rPr>
          <w:rFonts w:hint="eastAsia" w:ascii="宋体" w:hAnsi="宋体" w:cs="宋体"/>
          <w:color w:val="auto"/>
          <w:sz w:val="24"/>
          <w:szCs w:val="24"/>
          <w:highlight w:val="none"/>
        </w:rPr>
        <w:t>除专用合同条款另有约定外，咨询人应当在本合同签订后的</w:t>
      </w:r>
      <w:r>
        <w:rPr>
          <w:rFonts w:ascii="宋体" w:hAnsi="宋体" w:cs="宋体"/>
          <w:color w:val="auto"/>
          <w:sz w:val="24"/>
          <w:szCs w:val="24"/>
          <w:highlight w:val="none"/>
        </w:rPr>
        <w:t>7</w:t>
      </w:r>
      <w:r>
        <w:rPr>
          <w:rFonts w:hint="eastAsia" w:ascii="宋体" w:hAnsi="宋体" w:cs="宋体"/>
          <w:color w:val="auto"/>
          <w:sz w:val="24"/>
          <w:szCs w:val="24"/>
          <w:highlight w:val="none"/>
        </w:rPr>
        <w:t>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48ECEDBE">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3.3.2 </w:t>
      </w:r>
      <w:r>
        <w:rPr>
          <w:rFonts w:hint="eastAsia" w:ascii="宋体" w:hAnsi="宋体" w:cs="宋体"/>
          <w:color w:val="auto"/>
          <w:sz w:val="24"/>
          <w:szCs w:val="24"/>
          <w:highlight w:val="none"/>
        </w:rPr>
        <w:t>在合同履行过程中，工程造价专业人员应保持相对稳定，以保证咨询工作正常进行。咨询人更换工程造价专业人员时，应提前</w:t>
      </w:r>
      <w:r>
        <w:rPr>
          <w:rFonts w:ascii="宋体" w:hAnsi="宋体" w:cs="宋体"/>
          <w:color w:val="auto"/>
          <w:sz w:val="24"/>
          <w:szCs w:val="24"/>
          <w:highlight w:val="none"/>
        </w:rPr>
        <w:t>7</w:t>
      </w:r>
      <w:r>
        <w:rPr>
          <w:rFonts w:hint="eastAsia" w:ascii="宋体" w:hAnsi="宋体" w:cs="宋体"/>
          <w:color w:val="auto"/>
          <w:sz w:val="24"/>
          <w:szCs w:val="24"/>
          <w:highlight w:val="none"/>
        </w:rPr>
        <w:t>天书面通知委托人，并征得委托人书面同意。未经委托人书面同意，咨询人不得擅自更换工程造价专业人员。咨询人擅自更换工程造价专业人员的，应按照专用合同条款的约定，承担违约责任。</w:t>
      </w:r>
    </w:p>
    <w:p w14:paraId="4BD317C1">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咨询人承担施工阶段全过程造价管理咨询业务的，应安排工程造价专业人员进驻施工现场，且每月在施工现场时间不得少于专用合同条款约定的天数。工程造价专业人员</w:t>
      </w:r>
      <w:r>
        <w:rPr>
          <w:rFonts w:hint="eastAsia" w:ascii="宋体" w:hAnsi="宋体" w:cs="宋体"/>
          <w:color w:val="auto"/>
          <w:kern w:val="0"/>
          <w:sz w:val="24"/>
          <w:szCs w:val="24"/>
          <w:highlight w:val="none"/>
        </w:rPr>
        <w:t>确需离开施工现场时，应征得委托人同意。</w:t>
      </w:r>
      <w:r>
        <w:rPr>
          <w:rFonts w:hint="eastAsia" w:ascii="宋体" w:hAnsi="宋体" w:cs="宋体"/>
          <w:color w:val="auto"/>
          <w:sz w:val="24"/>
          <w:szCs w:val="24"/>
          <w:highlight w:val="none"/>
        </w:rPr>
        <w:t>咨询人违反约定的，应按照专用合同条款的约定，承担违约责任。</w:t>
      </w:r>
    </w:p>
    <w:p w14:paraId="4541A7B3">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3.3.4 </w:t>
      </w:r>
      <w:r>
        <w:rPr>
          <w:rFonts w:hint="eastAsia" w:ascii="宋体" w:hAnsi="宋体" w:cs="宋体"/>
          <w:color w:val="auto"/>
          <w:sz w:val="24"/>
          <w:szCs w:val="24"/>
          <w:highlight w:val="none"/>
        </w:rPr>
        <w:t>委托人要求咨询人撤换不能按照合同约定履行职责及义务的工程造价专业人员的，咨询人应当撤换。咨询人无正当理由拒绝撤换的，应按照专用合同条款的约定，承担违约责任。</w:t>
      </w:r>
    </w:p>
    <w:p w14:paraId="45B3C1E0">
      <w:pPr>
        <w:keepNext/>
        <w:keepLines/>
        <w:spacing w:line="360" w:lineRule="auto"/>
        <w:outlineLvl w:val="1"/>
        <w:rPr>
          <w:rFonts w:ascii="宋体"/>
          <w:color w:val="auto"/>
          <w:sz w:val="24"/>
          <w:szCs w:val="24"/>
          <w:highlight w:val="none"/>
        </w:rPr>
      </w:pPr>
      <w:bookmarkStart w:id="56" w:name="_Toc407261913"/>
      <w:r>
        <w:rPr>
          <w:rFonts w:ascii="宋体" w:hAnsi="宋体" w:cs="宋体"/>
          <w:color w:val="auto"/>
          <w:sz w:val="24"/>
          <w:szCs w:val="24"/>
          <w:highlight w:val="none"/>
        </w:rPr>
        <w:t xml:space="preserve">4. </w:t>
      </w:r>
      <w:r>
        <w:rPr>
          <w:rFonts w:hint="eastAsia" w:ascii="宋体" w:hAnsi="宋体" w:cs="宋体"/>
          <w:color w:val="auto"/>
          <w:sz w:val="24"/>
          <w:szCs w:val="24"/>
          <w:highlight w:val="none"/>
        </w:rPr>
        <w:t>咨询业务范围和工作内容</w:t>
      </w:r>
      <w:bookmarkEnd w:id="56"/>
    </w:p>
    <w:p w14:paraId="14EF7EDD">
      <w:pPr>
        <w:keepNext/>
        <w:keepLines/>
        <w:spacing w:line="360" w:lineRule="auto"/>
        <w:ind w:left="630" w:leftChars="300"/>
        <w:outlineLvl w:val="2"/>
        <w:rPr>
          <w:rFonts w:ascii="宋体"/>
          <w:b/>
          <w:bCs/>
          <w:color w:val="auto"/>
          <w:sz w:val="24"/>
          <w:szCs w:val="24"/>
          <w:highlight w:val="none"/>
        </w:rPr>
      </w:pPr>
      <w:bookmarkStart w:id="57" w:name="_Toc407261914"/>
      <w:r>
        <w:rPr>
          <w:rFonts w:ascii="宋体" w:hAnsi="宋体" w:cs="宋体"/>
          <w:b/>
          <w:bCs/>
          <w:color w:val="auto"/>
          <w:sz w:val="24"/>
          <w:szCs w:val="24"/>
          <w:highlight w:val="none"/>
        </w:rPr>
        <w:t xml:space="preserve">4.1 </w:t>
      </w:r>
      <w:r>
        <w:rPr>
          <w:rFonts w:hint="eastAsia" w:ascii="宋体" w:hAnsi="宋体" w:cs="宋体"/>
          <w:b/>
          <w:bCs/>
          <w:color w:val="auto"/>
          <w:sz w:val="24"/>
          <w:szCs w:val="24"/>
          <w:highlight w:val="none"/>
        </w:rPr>
        <w:t>咨询业务范围</w:t>
      </w:r>
      <w:bookmarkEnd w:id="57"/>
    </w:p>
    <w:p w14:paraId="5146B2BB">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合同当事人应在合同协议书中约定选择下列工程造价咨询业务中的一项或数项业务，并可在合同协议书中约定其他工程造价咨询业务。</w:t>
      </w:r>
    </w:p>
    <w:p w14:paraId="780E0053">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投资估算的编制或审核；</w:t>
      </w:r>
    </w:p>
    <w:p w14:paraId="3B19E793">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设计概算的编制或审核；</w:t>
      </w:r>
    </w:p>
    <w:p w14:paraId="78DD42A3">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施工图预算的编制或审核；</w:t>
      </w:r>
    </w:p>
    <w:p w14:paraId="050E681F">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工程量清单的编制或审核；</w:t>
      </w:r>
    </w:p>
    <w:p w14:paraId="7DA8AED2">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招标控制价的编制或审核；</w:t>
      </w:r>
    </w:p>
    <w:p w14:paraId="4D2DE508">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投标报价的编制；</w:t>
      </w:r>
    </w:p>
    <w:p w14:paraId="7F803F42">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工程结算的编制或审核；</w:t>
      </w:r>
    </w:p>
    <w:p w14:paraId="5A81060E">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竣工决算的编制或审核；</w:t>
      </w:r>
    </w:p>
    <w:p w14:paraId="6642B9EE">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施工阶段全过程造价管理咨询；</w:t>
      </w:r>
    </w:p>
    <w:p w14:paraId="129F3A73">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工程造价鉴定。</w:t>
      </w:r>
    </w:p>
    <w:p w14:paraId="10E1973A">
      <w:pPr>
        <w:keepNext/>
        <w:keepLines/>
        <w:spacing w:line="360" w:lineRule="auto"/>
        <w:ind w:left="630" w:leftChars="300"/>
        <w:outlineLvl w:val="2"/>
        <w:rPr>
          <w:rFonts w:ascii="宋体"/>
          <w:b/>
          <w:bCs/>
          <w:color w:val="auto"/>
          <w:sz w:val="24"/>
          <w:szCs w:val="24"/>
          <w:highlight w:val="none"/>
        </w:rPr>
      </w:pPr>
      <w:bookmarkStart w:id="58" w:name="_Toc407261915"/>
      <w:r>
        <w:rPr>
          <w:rFonts w:ascii="宋体" w:hAnsi="宋体" w:cs="宋体"/>
          <w:b/>
          <w:bCs/>
          <w:color w:val="auto"/>
          <w:sz w:val="24"/>
          <w:szCs w:val="24"/>
          <w:highlight w:val="none"/>
        </w:rPr>
        <w:t xml:space="preserve">4.2 </w:t>
      </w:r>
      <w:r>
        <w:rPr>
          <w:rFonts w:hint="eastAsia" w:ascii="宋体" w:hAnsi="宋体" w:cs="宋体"/>
          <w:b/>
          <w:bCs/>
          <w:color w:val="auto"/>
          <w:sz w:val="24"/>
          <w:szCs w:val="24"/>
          <w:highlight w:val="none"/>
        </w:rPr>
        <w:t>咨询工作内容</w:t>
      </w:r>
      <w:bookmarkEnd w:id="58"/>
    </w:p>
    <w:p w14:paraId="5485FAAF">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工程造价咨询工作内容，由合同当事人在专用合同条款中约定。</w:t>
      </w:r>
    </w:p>
    <w:p w14:paraId="7F906736">
      <w:pPr>
        <w:keepNext/>
        <w:keepLines/>
        <w:spacing w:line="360" w:lineRule="auto"/>
        <w:outlineLvl w:val="1"/>
        <w:rPr>
          <w:rFonts w:ascii="宋体"/>
          <w:color w:val="auto"/>
          <w:sz w:val="24"/>
          <w:szCs w:val="24"/>
          <w:highlight w:val="none"/>
        </w:rPr>
      </w:pPr>
      <w:bookmarkStart w:id="59" w:name="_Toc407261916"/>
      <w:bookmarkStart w:id="60" w:name="_Toc337558772"/>
      <w:bookmarkStart w:id="61" w:name="_Toc296346574"/>
      <w:bookmarkStart w:id="62" w:name="_Toc296503073"/>
      <w:r>
        <w:rPr>
          <w:rFonts w:ascii="宋体" w:hAnsi="宋体" w:cs="宋体"/>
          <w:color w:val="auto"/>
          <w:sz w:val="24"/>
          <w:szCs w:val="24"/>
          <w:highlight w:val="none"/>
        </w:rPr>
        <w:t xml:space="preserve">5. </w:t>
      </w:r>
      <w:r>
        <w:rPr>
          <w:rFonts w:hint="eastAsia" w:ascii="宋体" w:hAnsi="宋体" w:cs="宋体"/>
          <w:color w:val="auto"/>
          <w:sz w:val="24"/>
          <w:szCs w:val="24"/>
          <w:highlight w:val="none"/>
        </w:rPr>
        <w:t>咨询期限</w:t>
      </w:r>
      <w:bookmarkEnd w:id="59"/>
    </w:p>
    <w:bookmarkEnd w:id="60"/>
    <w:bookmarkEnd w:id="61"/>
    <w:bookmarkEnd w:id="62"/>
    <w:p w14:paraId="16271EFC">
      <w:pPr>
        <w:keepNext/>
        <w:keepLines/>
        <w:spacing w:line="360" w:lineRule="auto"/>
        <w:ind w:left="630" w:leftChars="300"/>
        <w:outlineLvl w:val="2"/>
        <w:rPr>
          <w:rFonts w:ascii="宋体"/>
          <w:b/>
          <w:bCs/>
          <w:color w:val="auto"/>
          <w:sz w:val="24"/>
          <w:szCs w:val="24"/>
          <w:highlight w:val="none"/>
        </w:rPr>
      </w:pPr>
      <w:bookmarkStart w:id="63" w:name="_Toc407261917"/>
      <w:r>
        <w:rPr>
          <w:rFonts w:ascii="宋体" w:hAnsi="宋体" w:cs="宋体"/>
          <w:b/>
          <w:bCs/>
          <w:color w:val="auto"/>
          <w:sz w:val="24"/>
          <w:szCs w:val="24"/>
          <w:highlight w:val="none"/>
        </w:rPr>
        <w:t xml:space="preserve">5.1 </w:t>
      </w:r>
      <w:r>
        <w:rPr>
          <w:rFonts w:hint="eastAsia" w:ascii="宋体" w:hAnsi="宋体" w:cs="宋体"/>
          <w:b/>
          <w:bCs/>
          <w:color w:val="auto"/>
          <w:sz w:val="24"/>
          <w:szCs w:val="24"/>
          <w:highlight w:val="none"/>
        </w:rPr>
        <w:t>咨询期限开始</w:t>
      </w:r>
      <w:bookmarkEnd w:id="63"/>
    </w:p>
    <w:p w14:paraId="2985384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7E3F31D7">
      <w:pPr>
        <w:keepNext/>
        <w:keepLines/>
        <w:spacing w:line="360" w:lineRule="auto"/>
        <w:ind w:left="630" w:leftChars="300"/>
        <w:outlineLvl w:val="2"/>
        <w:rPr>
          <w:rFonts w:ascii="宋体"/>
          <w:b/>
          <w:bCs/>
          <w:color w:val="auto"/>
          <w:sz w:val="24"/>
          <w:szCs w:val="24"/>
          <w:highlight w:val="none"/>
        </w:rPr>
      </w:pPr>
      <w:bookmarkStart w:id="64" w:name="_Toc407261918"/>
      <w:r>
        <w:rPr>
          <w:rFonts w:ascii="宋体" w:hAnsi="宋体" w:cs="宋体"/>
          <w:b/>
          <w:bCs/>
          <w:color w:val="auto"/>
          <w:sz w:val="24"/>
          <w:szCs w:val="24"/>
          <w:highlight w:val="none"/>
        </w:rPr>
        <w:t xml:space="preserve">5.2 </w:t>
      </w:r>
      <w:r>
        <w:rPr>
          <w:rFonts w:hint="eastAsia" w:ascii="宋体" w:hAnsi="宋体" w:cs="宋体"/>
          <w:b/>
          <w:bCs/>
          <w:color w:val="auto"/>
          <w:sz w:val="24"/>
          <w:szCs w:val="24"/>
          <w:highlight w:val="none"/>
        </w:rPr>
        <w:t>咨询期限延误</w:t>
      </w:r>
      <w:bookmarkEnd w:id="64"/>
    </w:p>
    <w:p w14:paraId="6DA6A5B8">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5.2.1 </w:t>
      </w:r>
      <w:r>
        <w:rPr>
          <w:rFonts w:hint="eastAsia" w:ascii="宋体" w:hAnsi="宋体" w:cs="宋体"/>
          <w:color w:val="auto"/>
          <w:sz w:val="24"/>
          <w:szCs w:val="24"/>
          <w:highlight w:val="none"/>
        </w:rPr>
        <w:t>因委托人原因导致咨询期限延误</w:t>
      </w:r>
    </w:p>
    <w:p w14:paraId="61113666">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在合同履行过程中，因下列情况导致咨询期限延误和费用增加的，由委托人承担由此延误的期限和增加的费用：</w:t>
      </w:r>
    </w:p>
    <w:p w14:paraId="2BED1997">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委托人未能按合同约定向咨询人提供工程造价咨询所需要的资料或所提供咨询资料不符合合同约定的；</w:t>
      </w:r>
    </w:p>
    <w:p w14:paraId="2AB1286A">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委托人未能按合同约定提供咨询工作条件，影响咨询工作正常开展的；</w:t>
      </w:r>
    </w:p>
    <w:p w14:paraId="532F96C1">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委托人未能在合理期限内对咨询人以书面形式提交并要求作出决定的事宜，给予书面答复，影响咨询工作正常开展的；</w:t>
      </w:r>
    </w:p>
    <w:p w14:paraId="39877BC6">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委托人未能按合同约定支付酬金的；</w:t>
      </w:r>
    </w:p>
    <w:p w14:paraId="722B4A47">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工程暂停施工或工期延误，影响咨询工作正常开展的；</w:t>
      </w:r>
    </w:p>
    <w:p w14:paraId="728C2F10">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专用合同条款中约定的其他情形。</w:t>
      </w:r>
    </w:p>
    <w:p w14:paraId="0B717E48">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5.2.2 </w:t>
      </w:r>
      <w:r>
        <w:rPr>
          <w:rFonts w:hint="eastAsia" w:ascii="宋体" w:hAnsi="宋体" w:cs="宋体"/>
          <w:color w:val="auto"/>
          <w:sz w:val="24"/>
          <w:szCs w:val="24"/>
          <w:highlight w:val="none"/>
        </w:rPr>
        <w:t>因咨询人原因导致咨询期限延误</w:t>
      </w:r>
    </w:p>
    <w:p w14:paraId="1DEFB6A3">
      <w:pPr>
        <w:spacing w:line="360" w:lineRule="auto"/>
        <w:ind w:firstLine="480" w:firstLineChars="200"/>
        <w:rPr>
          <w:rFonts w:ascii="宋体"/>
          <w:color w:val="auto"/>
          <w:sz w:val="24"/>
          <w:szCs w:val="24"/>
          <w:highlight w:val="none"/>
        </w:rPr>
      </w:pPr>
      <w:bookmarkStart w:id="65" w:name="_Toc296346577"/>
      <w:bookmarkStart w:id="66" w:name="_Toc296503076"/>
      <w:r>
        <w:rPr>
          <w:rFonts w:hint="eastAsia" w:ascii="宋体" w:hAnsi="宋体" w:cs="宋体"/>
          <w:color w:val="auto"/>
          <w:sz w:val="24"/>
          <w:szCs w:val="24"/>
          <w:highlight w:val="none"/>
        </w:rPr>
        <w:t>因</w:t>
      </w:r>
      <w:bookmarkEnd w:id="65"/>
      <w:bookmarkEnd w:id="66"/>
      <w:r>
        <w:rPr>
          <w:rFonts w:hint="eastAsia" w:ascii="宋体" w:hAnsi="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D11D488">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5.2.3 </w:t>
      </w:r>
      <w:r>
        <w:rPr>
          <w:rFonts w:hint="eastAsia" w:ascii="宋体" w:hAnsi="宋体" w:cs="宋体"/>
          <w:color w:val="auto"/>
          <w:sz w:val="24"/>
          <w:szCs w:val="24"/>
          <w:highlight w:val="none"/>
        </w:rPr>
        <w:t>因第三人原因导致咨询期限延误</w:t>
      </w:r>
    </w:p>
    <w:p w14:paraId="7FE2529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在合同履行过程中，因下列情况导致咨询期限延误和费用增加的，由委托人承担由此延误的期限和增加的费用：</w:t>
      </w:r>
    </w:p>
    <w:p w14:paraId="107C2233">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第三人未能在合理期限内提供工程造价咨询所需要的资料或所提供咨询资料不符合合同约定的；</w:t>
      </w:r>
    </w:p>
    <w:p w14:paraId="537C279E">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第三人未能在合理期限内对咨询人以书面形式提交并要求作出决定的事宜，给予书面答复，影响咨询工作正常开展的；</w:t>
      </w:r>
    </w:p>
    <w:p w14:paraId="3B278363">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专用合同条款中约定的其他情形。</w:t>
      </w:r>
    </w:p>
    <w:p w14:paraId="05005111">
      <w:pPr>
        <w:keepNext/>
        <w:keepLines/>
        <w:spacing w:line="360" w:lineRule="auto"/>
        <w:ind w:left="630" w:leftChars="300"/>
        <w:outlineLvl w:val="2"/>
        <w:rPr>
          <w:rFonts w:ascii="宋体"/>
          <w:b/>
          <w:bCs/>
          <w:color w:val="auto"/>
          <w:sz w:val="24"/>
          <w:szCs w:val="24"/>
          <w:highlight w:val="none"/>
        </w:rPr>
      </w:pPr>
      <w:bookmarkStart w:id="67" w:name="_Toc407261919"/>
      <w:r>
        <w:rPr>
          <w:rFonts w:ascii="宋体" w:hAnsi="宋体" w:cs="宋体"/>
          <w:b/>
          <w:bCs/>
          <w:color w:val="auto"/>
          <w:sz w:val="24"/>
          <w:szCs w:val="24"/>
          <w:highlight w:val="none"/>
        </w:rPr>
        <w:t xml:space="preserve">5.3 </w:t>
      </w:r>
      <w:r>
        <w:rPr>
          <w:rFonts w:hint="eastAsia" w:ascii="宋体" w:hAnsi="宋体" w:cs="宋体"/>
          <w:b/>
          <w:bCs/>
          <w:color w:val="auto"/>
          <w:sz w:val="24"/>
          <w:szCs w:val="24"/>
          <w:highlight w:val="none"/>
        </w:rPr>
        <w:t>工程造价咨询成果文件交付期限</w:t>
      </w:r>
      <w:bookmarkEnd w:id="67"/>
    </w:p>
    <w:p w14:paraId="3D1D5568">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5.3.1 </w:t>
      </w:r>
      <w:r>
        <w:rPr>
          <w:rFonts w:hint="eastAsia" w:ascii="宋体" w:hAnsi="宋体" w:cs="宋体"/>
          <w:color w:val="auto"/>
          <w:sz w:val="24"/>
          <w:szCs w:val="24"/>
          <w:highlight w:val="none"/>
        </w:rPr>
        <w:t>咨询人应在合同约定的期限内完成咨询工作，并按专用合同条款约定的份数</w:t>
      </w:r>
      <w:r>
        <w:rPr>
          <w:rFonts w:ascii="宋体" w:cs="宋体"/>
          <w:color w:val="auto"/>
          <w:sz w:val="24"/>
          <w:szCs w:val="24"/>
          <w:highlight w:val="none"/>
        </w:rPr>
        <w:t>,</w:t>
      </w:r>
      <w:r>
        <w:rPr>
          <w:rFonts w:hint="eastAsia" w:ascii="宋体" w:hAnsi="宋体" w:cs="宋体"/>
          <w:color w:val="auto"/>
          <w:sz w:val="24"/>
          <w:szCs w:val="24"/>
          <w:highlight w:val="none"/>
        </w:rPr>
        <w:t>向委托人提交工程造价咨询成果文件。除专用合同条款另有约定外，委托人应在收到咨询人提交的工程造价咨询成果文件后</w:t>
      </w:r>
      <w:r>
        <w:rPr>
          <w:rFonts w:ascii="宋体" w:hAnsi="宋体" w:cs="宋体"/>
          <w:color w:val="auto"/>
          <w:sz w:val="24"/>
          <w:szCs w:val="24"/>
          <w:highlight w:val="none"/>
        </w:rPr>
        <w:t>14</w:t>
      </w:r>
      <w:r>
        <w:rPr>
          <w:rFonts w:hint="eastAsia" w:ascii="宋体" w:hAnsi="宋体" w:cs="宋体"/>
          <w:color w:val="auto"/>
          <w:sz w:val="24"/>
          <w:szCs w:val="24"/>
          <w:highlight w:val="none"/>
        </w:rPr>
        <w:t>天内完成确认。委托人对工程造价咨询成果文件有异议的，咨询人应进行复核；经复核确实存在误差的，咨询人应修正，并提交修正后的工程造价咨询成果文件。委托人逾期未确认也未提出修改意见的</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工程造价咨询成果文件视为已被认可。</w:t>
      </w:r>
    </w:p>
    <w:p w14:paraId="35A78430">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5.3.2 </w:t>
      </w:r>
      <w:r>
        <w:rPr>
          <w:rFonts w:hint="eastAsia" w:ascii="宋体" w:hAnsi="宋体" w:cs="宋体"/>
          <w:color w:val="auto"/>
          <w:sz w:val="24"/>
          <w:szCs w:val="24"/>
          <w:highlight w:val="none"/>
        </w:rPr>
        <w:t>在施工阶段全过程造价管理咨询工作中，因咨询人原因未能在合理的期限内完成工程计量与支付、合同价款调整等文件编制或审核，给委托人造成损失的，应按照专用合同条款的约定，承担违约责任。</w:t>
      </w:r>
    </w:p>
    <w:p w14:paraId="41F96EB2">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5.3.3 </w:t>
      </w:r>
      <w:r>
        <w:rPr>
          <w:rFonts w:hint="eastAsia" w:ascii="宋体" w:hAnsi="宋体" w:cs="宋体"/>
          <w:color w:val="auto"/>
          <w:sz w:val="24"/>
          <w:szCs w:val="24"/>
          <w:highlight w:val="none"/>
        </w:rPr>
        <w:t>咨询人提交的工程造价咨询成果文件需要第三人共同确认的，确因特殊原因不能共同签署时，咨询人应单独出具工程造价咨询成果文件，并承担相应法律责任。</w:t>
      </w:r>
    </w:p>
    <w:p w14:paraId="3C11A366">
      <w:pPr>
        <w:keepNext/>
        <w:keepLines/>
        <w:spacing w:line="360" w:lineRule="auto"/>
        <w:outlineLvl w:val="1"/>
        <w:rPr>
          <w:rFonts w:ascii="宋体"/>
          <w:color w:val="auto"/>
          <w:sz w:val="24"/>
          <w:szCs w:val="24"/>
          <w:highlight w:val="none"/>
        </w:rPr>
      </w:pPr>
      <w:bookmarkStart w:id="68" w:name="_Toc407261920"/>
      <w:r>
        <w:rPr>
          <w:rFonts w:ascii="宋体" w:hAnsi="宋体" w:cs="宋体"/>
          <w:color w:val="auto"/>
          <w:sz w:val="24"/>
          <w:szCs w:val="24"/>
          <w:highlight w:val="none"/>
        </w:rPr>
        <w:t xml:space="preserve">6. </w:t>
      </w:r>
      <w:r>
        <w:rPr>
          <w:rFonts w:hint="eastAsia" w:ascii="宋体" w:hAnsi="宋体" w:cs="宋体"/>
          <w:color w:val="auto"/>
          <w:sz w:val="24"/>
          <w:szCs w:val="24"/>
          <w:highlight w:val="none"/>
        </w:rPr>
        <w:t>咨询质量</w:t>
      </w:r>
      <w:bookmarkEnd w:id="68"/>
    </w:p>
    <w:p w14:paraId="5333C2C7">
      <w:pPr>
        <w:keepNext/>
        <w:keepLines/>
        <w:spacing w:line="360" w:lineRule="auto"/>
        <w:ind w:left="630" w:leftChars="300"/>
        <w:outlineLvl w:val="2"/>
        <w:rPr>
          <w:rFonts w:ascii="宋体"/>
          <w:b/>
          <w:bCs/>
          <w:color w:val="auto"/>
          <w:sz w:val="24"/>
          <w:szCs w:val="24"/>
          <w:highlight w:val="none"/>
        </w:rPr>
      </w:pPr>
      <w:bookmarkStart w:id="69" w:name="_Toc407261921"/>
      <w:r>
        <w:rPr>
          <w:rFonts w:ascii="宋体" w:hAnsi="宋体" w:cs="宋体"/>
          <w:b/>
          <w:bCs/>
          <w:color w:val="auto"/>
          <w:sz w:val="24"/>
          <w:szCs w:val="24"/>
          <w:highlight w:val="none"/>
        </w:rPr>
        <w:t xml:space="preserve">6.1 </w:t>
      </w:r>
      <w:r>
        <w:rPr>
          <w:rFonts w:hint="eastAsia" w:ascii="宋体" w:hAnsi="宋体" w:cs="宋体"/>
          <w:b/>
          <w:bCs/>
          <w:color w:val="auto"/>
          <w:sz w:val="24"/>
          <w:szCs w:val="24"/>
          <w:highlight w:val="none"/>
        </w:rPr>
        <w:t>质量要求</w:t>
      </w:r>
      <w:bookmarkEnd w:id="69"/>
    </w:p>
    <w:p w14:paraId="020817D8">
      <w:pPr>
        <w:spacing w:line="360" w:lineRule="auto"/>
        <w:ind w:firstLine="480" w:firstLineChars="200"/>
        <w:rPr>
          <w:rFonts w:ascii="宋体"/>
          <w:color w:val="auto"/>
          <w:sz w:val="24"/>
          <w:szCs w:val="24"/>
          <w:highlight w:val="none"/>
        </w:rPr>
      </w:pPr>
      <w:bookmarkStart w:id="70" w:name="_Toc337558760"/>
      <w:r>
        <w:rPr>
          <w:rFonts w:hint="eastAsia" w:ascii="宋体" w:hAnsi="宋体" w:cs="宋体"/>
          <w:color w:val="auto"/>
          <w:sz w:val="24"/>
          <w:szCs w:val="24"/>
          <w:highlight w:val="none"/>
        </w:rPr>
        <w:t>咨询人出具的工程造价咨询成果文件质量应符合现行国家或行业工程计价有关规定、标准、规范的要求。</w:t>
      </w:r>
    </w:p>
    <w:p w14:paraId="3E5FC28E">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09FB9321">
      <w:pPr>
        <w:keepNext/>
        <w:keepLines/>
        <w:spacing w:line="360" w:lineRule="auto"/>
        <w:ind w:left="630" w:leftChars="300"/>
        <w:outlineLvl w:val="2"/>
        <w:rPr>
          <w:rFonts w:ascii="宋体"/>
          <w:b/>
          <w:bCs/>
          <w:color w:val="auto"/>
          <w:sz w:val="24"/>
          <w:szCs w:val="24"/>
          <w:highlight w:val="none"/>
        </w:rPr>
      </w:pPr>
      <w:bookmarkStart w:id="71" w:name="_Toc407261922"/>
      <w:r>
        <w:rPr>
          <w:rFonts w:ascii="宋体" w:hAnsi="宋体" w:cs="宋体"/>
          <w:b/>
          <w:bCs/>
          <w:color w:val="auto"/>
          <w:sz w:val="24"/>
          <w:szCs w:val="24"/>
          <w:highlight w:val="none"/>
        </w:rPr>
        <w:t xml:space="preserve">6.2 </w:t>
      </w:r>
      <w:r>
        <w:rPr>
          <w:rFonts w:hint="eastAsia" w:ascii="宋体" w:hAnsi="宋体" w:cs="宋体"/>
          <w:b/>
          <w:bCs/>
          <w:color w:val="auto"/>
          <w:sz w:val="24"/>
          <w:szCs w:val="24"/>
          <w:highlight w:val="none"/>
        </w:rPr>
        <w:t>质量保证措施</w:t>
      </w:r>
      <w:bookmarkEnd w:id="71"/>
    </w:p>
    <w:bookmarkEnd w:id="70"/>
    <w:p w14:paraId="177D4A03">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咨询人应建立相应的质量管理体系，并通过计划管理、流程控制保证工程造价咨询成果文件质量。</w:t>
      </w:r>
    </w:p>
    <w:p w14:paraId="7D2B34D6">
      <w:pPr>
        <w:keepNext/>
        <w:keepLines/>
        <w:spacing w:line="360" w:lineRule="auto"/>
        <w:ind w:left="630" w:leftChars="300"/>
        <w:outlineLvl w:val="2"/>
        <w:rPr>
          <w:rFonts w:ascii="宋体"/>
          <w:b/>
          <w:bCs/>
          <w:color w:val="auto"/>
          <w:sz w:val="24"/>
          <w:szCs w:val="24"/>
          <w:highlight w:val="none"/>
        </w:rPr>
      </w:pPr>
      <w:bookmarkStart w:id="72" w:name="_Toc407261923"/>
      <w:r>
        <w:rPr>
          <w:rFonts w:ascii="宋体" w:hAnsi="宋体" w:cs="宋体"/>
          <w:b/>
          <w:bCs/>
          <w:color w:val="auto"/>
          <w:sz w:val="24"/>
          <w:szCs w:val="24"/>
          <w:highlight w:val="none"/>
        </w:rPr>
        <w:t xml:space="preserve">6.3 </w:t>
      </w:r>
      <w:r>
        <w:rPr>
          <w:rFonts w:hint="eastAsia" w:ascii="宋体" w:hAnsi="宋体" w:cs="宋体"/>
          <w:b/>
          <w:bCs/>
          <w:color w:val="auto"/>
          <w:sz w:val="24"/>
          <w:szCs w:val="24"/>
          <w:highlight w:val="none"/>
        </w:rPr>
        <w:t>质量不合格处理</w:t>
      </w:r>
      <w:bookmarkEnd w:id="72"/>
    </w:p>
    <w:p w14:paraId="1A6A324A">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53F7624F">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4431BE3C">
      <w:pPr>
        <w:keepNext/>
        <w:keepLines/>
        <w:spacing w:line="360" w:lineRule="auto"/>
        <w:outlineLvl w:val="1"/>
        <w:rPr>
          <w:rFonts w:ascii="宋体"/>
          <w:color w:val="auto"/>
          <w:sz w:val="24"/>
          <w:szCs w:val="24"/>
          <w:highlight w:val="none"/>
        </w:rPr>
      </w:pPr>
      <w:bookmarkStart w:id="73" w:name="_Toc407261924"/>
      <w:r>
        <w:rPr>
          <w:rFonts w:ascii="宋体" w:hAnsi="宋体" w:cs="宋体"/>
          <w:color w:val="auto"/>
          <w:sz w:val="24"/>
          <w:szCs w:val="24"/>
          <w:highlight w:val="none"/>
        </w:rPr>
        <w:t xml:space="preserve">7. </w:t>
      </w:r>
      <w:r>
        <w:rPr>
          <w:rFonts w:hint="eastAsia" w:ascii="宋体" w:hAnsi="宋体" w:cs="宋体"/>
          <w:color w:val="auto"/>
          <w:sz w:val="24"/>
          <w:szCs w:val="24"/>
          <w:highlight w:val="none"/>
        </w:rPr>
        <w:t>咨询酬金</w:t>
      </w:r>
      <w:bookmarkEnd w:id="73"/>
    </w:p>
    <w:p w14:paraId="7CA5AA1F">
      <w:pPr>
        <w:keepNext/>
        <w:keepLines/>
        <w:spacing w:line="360" w:lineRule="auto"/>
        <w:ind w:left="630" w:leftChars="300"/>
        <w:outlineLvl w:val="2"/>
        <w:rPr>
          <w:rFonts w:ascii="宋体"/>
          <w:b/>
          <w:bCs/>
          <w:color w:val="auto"/>
          <w:sz w:val="24"/>
          <w:szCs w:val="24"/>
          <w:highlight w:val="none"/>
        </w:rPr>
      </w:pPr>
      <w:bookmarkStart w:id="74" w:name="_Toc407261925"/>
      <w:r>
        <w:rPr>
          <w:rFonts w:ascii="宋体" w:hAnsi="宋体" w:cs="宋体"/>
          <w:b/>
          <w:bCs/>
          <w:color w:val="auto"/>
          <w:sz w:val="24"/>
          <w:szCs w:val="24"/>
          <w:highlight w:val="none"/>
        </w:rPr>
        <w:t xml:space="preserve">7.1 </w:t>
      </w:r>
      <w:r>
        <w:rPr>
          <w:rFonts w:hint="eastAsia" w:ascii="宋体" w:hAnsi="宋体" w:cs="宋体"/>
          <w:b/>
          <w:bCs/>
          <w:color w:val="auto"/>
          <w:sz w:val="24"/>
          <w:szCs w:val="24"/>
          <w:highlight w:val="none"/>
        </w:rPr>
        <w:t>酬金计算方式</w:t>
      </w:r>
      <w:bookmarkEnd w:id="74"/>
    </w:p>
    <w:p w14:paraId="7368789A">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除专用合同条款另有约定外，合同当事人应在</w:t>
      </w:r>
      <w:r>
        <w:rPr>
          <w:rFonts w:hint="eastAsia" w:ascii="宋体" w:hAnsi="宋体" w:cs="宋体"/>
          <w:color w:val="auto"/>
          <w:kern w:val="0"/>
          <w:sz w:val="24"/>
          <w:szCs w:val="24"/>
          <w:highlight w:val="none"/>
        </w:rPr>
        <w:t>合同协议书或</w:t>
      </w:r>
      <w:r>
        <w:rPr>
          <w:rFonts w:hint="eastAsia" w:ascii="宋体" w:hAnsi="宋体" w:cs="宋体"/>
          <w:color w:val="auto"/>
          <w:sz w:val="24"/>
          <w:szCs w:val="24"/>
          <w:highlight w:val="none"/>
        </w:rPr>
        <w:t>专用合同条款</w:t>
      </w:r>
      <w:r>
        <w:rPr>
          <w:rFonts w:hint="eastAsia" w:ascii="宋体" w:hAnsi="宋体" w:cs="宋体"/>
          <w:color w:val="auto"/>
          <w:kern w:val="0"/>
          <w:sz w:val="24"/>
          <w:szCs w:val="24"/>
          <w:highlight w:val="none"/>
        </w:rPr>
        <w:t>中选择下列</w:t>
      </w:r>
      <w:r>
        <w:rPr>
          <w:rFonts w:hint="eastAsia" w:ascii="宋体" w:hAnsi="宋体" w:cs="宋体"/>
          <w:color w:val="auto"/>
          <w:sz w:val="24"/>
          <w:szCs w:val="24"/>
          <w:highlight w:val="none"/>
        </w:rPr>
        <w:t>酬金计算方式之一：</w:t>
      </w:r>
    </w:p>
    <w:p w14:paraId="01D247E1">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7.1.1 </w:t>
      </w:r>
      <w:r>
        <w:rPr>
          <w:rFonts w:hint="eastAsia" w:ascii="宋体" w:hAnsi="宋体" w:cs="宋体"/>
          <w:color w:val="auto"/>
          <w:sz w:val="24"/>
          <w:szCs w:val="24"/>
          <w:highlight w:val="none"/>
        </w:rPr>
        <w:t>固定酬金</w:t>
      </w:r>
    </w:p>
    <w:p w14:paraId="11B13EF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合同当事人在合同协议书中约定咨询酬金金额。</w:t>
      </w:r>
    </w:p>
    <w:p w14:paraId="4399B1A0">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7.1.2 </w:t>
      </w:r>
      <w:r>
        <w:rPr>
          <w:rFonts w:hint="eastAsia" w:ascii="宋体" w:hAnsi="宋体" w:cs="宋体"/>
          <w:color w:val="auto"/>
          <w:sz w:val="24"/>
          <w:szCs w:val="24"/>
          <w:highlight w:val="none"/>
        </w:rPr>
        <w:t>基本酬金加绩效酬金</w:t>
      </w:r>
    </w:p>
    <w:p w14:paraId="0DB49402">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合同当事人可以在专用合同条款中约定按以下计算方式确定委托人支付给咨询人的基本酬金和绩效酬金金额：</w:t>
      </w:r>
    </w:p>
    <w:p w14:paraId="7664ECE9">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以咨询人编审的工程造价咨询成果文件总价为基数，乘以专用合同条款约定的基本酬金比例，计算确定基本酬金金额。</w:t>
      </w:r>
    </w:p>
    <w:p w14:paraId="1BBCB423">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）委托人除支付咨询人基本酬金外，如咨询人审核的工程造价成果文件有审减（增）额的，可以审减（增）额为基数，乘以专用合同条款约定的绩效酬金比例，计算确定绩效酬金金额。</w:t>
      </w:r>
    </w:p>
    <w:p w14:paraId="437893EA">
      <w:pPr>
        <w:keepNext/>
        <w:keepLines/>
        <w:spacing w:line="360" w:lineRule="auto"/>
        <w:ind w:left="630" w:leftChars="300"/>
        <w:outlineLvl w:val="2"/>
        <w:rPr>
          <w:rFonts w:ascii="宋体"/>
          <w:b/>
          <w:bCs/>
          <w:color w:val="auto"/>
          <w:sz w:val="24"/>
          <w:szCs w:val="24"/>
          <w:highlight w:val="none"/>
        </w:rPr>
      </w:pPr>
      <w:bookmarkStart w:id="75" w:name="_Toc407261926"/>
      <w:r>
        <w:rPr>
          <w:rFonts w:ascii="宋体" w:hAnsi="宋体" w:cs="宋体"/>
          <w:b/>
          <w:bCs/>
          <w:color w:val="auto"/>
          <w:sz w:val="24"/>
          <w:szCs w:val="24"/>
          <w:highlight w:val="none"/>
        </w:rPr>
        <w:t xml:space="preserve">7.2 </w:t>
      </w:r>
      <w:r>
        <w:rPr>
          <w:rFonts w:hint="eastAsia" w:ascii="宋体" w:hAnsi="宋体" w:cs="宋体"/>
          <w:b/>
          <w:bCs/>
          <w:color w:val="auto"/>
          <w:sz w:val="24"/>
          <w:szCs w:val="24"/>
          <w:highlight w:val="none"/>
        </w:rPr>
        <w:t>预付酬金</w:t>
      </w:r>
      <w:bookmarkEnd w:id="75"/>
    </w:p>
    <w:p w14:paraId="3F466FB6">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咨询合同期限超过</w:t>
      </w:r>
      <w:r>
        <w:rPr>
          <w:rFonts w:ascii="宋体" w:hAnsi="宋体" w:cs="宋体"/>
          <w:color w:val="auto"/>
          <w:sz w:val="24"/>
          <w:szCs w:val="24"/>
          <w:highlight w:val="none"/>
        </w:rPr>
        <w:t>6</w:t>
      </w:r>
      <w:r>
        <w:rPr>
          <w:rFonts w:hint="eastAsia" w:ascii="宋体" w:hAnsi="宋体" w:cs="宋体"/>
          <w:color w:val="auto"/>
          <w:sz w:val="24"/>
          <w:szCs w:val="24"/>
          <w:highlight w:val="none"/>
        </w:rPr>
        <w:t>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双方另有约定的除外。</w:t>
      </w:r>
    </w:p>
    <w:p w14:paraId="6BA51A02">
      <w:pPr>
        <w:keepNext/>
        <w:keepLines/>
        <w:spacing w:line="360" w:lineRule="auto"/>
        <w:ind w:left="630" w:leftChars="300"/>
        <w:outlineLvl w:val="2"/>
        <w:rPr>
          <w:rFonts w:ascii="宋体"/>
          <w:b/>
          <w:bCs/>
          <w:color w:val="auto"/>
          <w:sz w:val="24"/>
          <w:szCs w:val="24"/>
          <w:highlight w:val="none"/>
        </w:rPr>
      </w:pPr>
      <w:bookmarkStart w:id="76" w:name="_Toc407261927"/>
      <w:r>
        <w:rPr>
          <w:rFonts w:ascii="宋体" w:hAnsi="宋体" w:cs="宋体"/>
          <w:b/>
          <w:bCs/>
          <w:color w:val="auto"/>
          <w:sz w:val="24"/>
          <w:szCs w:val="24"/>
          <w:highlight w:val="none"/>
        </w:rPr>
        <w:t xml:space="preserve">7.3 </w:t>
      </w:r>
      <w:r>
        <w:rPr>
          <w:rFonts w:hint="eastAsia" w:ascii="宋体" w:hAnsi="宋体" w:cs="宋体"/>
          <w:b/>
          <w:bCs/>
          <w:color w:val="auto"/>
          <w:sz w:val="24"/>
          <w:szCs w:val="24"/>
          <w:highlight w:val="none"/>
        </w:rPr>
        <w:t>酬金分段结算与支付</w:t>
      </w:r>
      <w:bookmarkEnd w:id="76"/>
    </w:p>
    <w:p w14:paraId="491A19B6">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7.3.1</w:t>
      </w:r>
      <w:r>
        <w:rPr>
          <w:rFonts w:hint="eastAsia" w:ascii="宋体" w:hAnsi="宋体" w:cs="宋体"/>
          <w:color w:val="auto"/>
          <w:sz w:val="24"/>
          <w:szCs w:val="24"/>
          <w:highlight w:val="none"/>
        </w:rPr>
        <w:t>合同当事人应在</w:t>
      </w:r>
      <w:r>
        <w:rPr>
          <w:rFonts w:hint="eastAsia" w:ascii="宋体" w:hAnsi="宋体" w:cs="宋体"/>
          <w:color w:val="auto"/>
          <w:kern w:val="0"/>
          <w:sz w:val="24"/>
          <w:szCs w:val="24"/>
          <w:highlight w:val="none"/>
        </w:rPr>
        <w:t>专用合同条款中约定</w:t>
      </w:r>
      <w:r>
        <w:rPr>
          <w:rFonts w:hint="eastAsia" w:ascii="宋体" w:hAnsi="宋体" w:cs="宋体"/>
          <w:color w:val="auto"/>
          <w:sz w:val="24"/>
          <w:szCs w:val="24"/>
          <w:highlight w:val="none"/>
        </w:rPr>
        <w:t>酬金分段结算与支付的比例或金额。咨询人应</w:t>
      </w:r>
      <w:r>
        <w:rPr>
          <w:rFonts w:hint="eastAsia" w:ascii="宋体" w:hAnsi="宋体" w:cs="宋体"/>
          <w:color w:val="auto"/>
          <w:kern w:val="0"/>
          <w:sz w:val="24"/>
          <w:szCs w:val="24"/>
          <w:highlight w:val="none"/>
        </w:rPr>
        <w:t>按照专用合同条款约定的</w:t>
      </w:r>
      <w:r>
        <w:rPr>
          <w:rFonts w:hint="eastAsia" w:ascii="宋体" w:hAnsi="宋体" w:cs="宋体"/>
          <w:color w:val="auto"/>
          <w:sz w:val="24"/>
          <w:szCs w:val="24"/>
          <w:highlight w:val="none"/>
        </w:rPr>
        <w:t>期限或咨询业务进度节点向委托人提交酬金分段结算与支付申请书。</w:t>
      </w:r>
    </w:p>
    <w:p w14:paraId="52FC509B">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7.3.2 </w:t>
      </w:r>
      <w:r>
        <w:rPr>
          <w:rFonts w:hint="eastAsia" w:ascii="宋体" w:hAnsi="宋体" w:cs="宋体"/>
          <w:color w:val="auto"/>
          <w:kern w:val="0"/>
          <w:sz w:val="24"/>
          <w:szCs w:val="24"/>
          <w:highlight w:val="none"/>
        </w:rPr>
        <w:t>除专用合同条款另有约定外，</w:t>
      </w:r>
      <w:r>
        <w:rPr>
          <w:rFonts w:hint="eastAsia" w:ascii="宋体" w:hAnsi="宋体" w:cs="宋体"/>
          <w:color w:val="auto"/>
          <w:sz w:val="24"/>
          <w:szCs w:val="24"/>
          <w:highlight w:val="none"/>
        </w:rPr>
        <w:t>委托人应自收到咨询人提交的酬金分段结算与支付申请书之日起20天内审核确认，</w:t>
      </w:r>
      <w:r>
        <w:rPr>
          <w:rFonts w:hint="eastAsia" w:ascii="宋体" w:hAnsi="宋体" w:cs="宋体"/>
          <w:color w:val="auto"/>
          <w:kern w:val="0"/>
          <w:sz w:val="24"/>
          <w:szCs w:val="24"/>
          <w:highlight w:val="none"/>
        </w:rPr>
        <w:t>并完成</w:t>
      </w:r>
      <w:r>
        <w:rPr>
          <w:rFonts w:hint="eastAsia" w:ascii="宋体" w:hAnsi="宋体" w:cs="宋体"/>
          <w:color w:val="auto"/>
          <w:sz w:val="24"/>
          <w:szCs w:val="24"/>
          <w:highlight w:val="none"/>
        </w:rPr>
        <w:t>支付。</w:t>
      </w:r>
    </w:p>
    <w:p w14:paraId="41B2DF48">
      <w:pPr>
        <w:keepNext/>
        <w:keepLines/>
        <w:spacing w:line="360" w:lineRule="auto"/>
        <w:ind w:left="630" w:leftChars="300"/>
        <w:outlineLvl w:val="2"/>
        <w:rPr>
          <w:rFonts w:ascii="宋体"/>
          <w:b/>
          <w:bCs/>
          <w:color w:val="auto"/>
          <w:sz w:val="24"/>
          <w:szCs w:val="24"/>
          <w:highlight w:val="none"/>
        </w:rPr>
      </w:pPr>
      <w:bookmarkStart w:id="77" w:name="_Toc407261928"/>
      <w:r>
        <w:rPr>
          <w:rFonts w:ascii="宋体" w:hAnsi="宋体" w:cs="宋体"/>
          <w:b/>
          <w:bCs/>
          <w:color w:val="auto"/>
          <w:sz w:val="24"/>
          <w:szCs w:val="24"/>
          <w:highlight w:val="none"/>
        </w:rPr>
        <w:t xml:space="preserve">7.4 </w:t>
      </w:r>
      <w:r>
        <w:rPr>
          <w:rFonts w:hint="eastAsia" w:ascii="宋体" w:hAnsi="宋体" w:cs="宋体"/>
          <w:b/>
          <w:bCs/>
          <w:color w:val="auto"/>
          <w:sz w:val="24"/>
          <w:szCs w:val="24"/>
          <w:highlight w:val="none"/>
        </w:rPr>
        <w:t>酬金结清与支付</w:t>
      </w:r>
      <w:bookmarkEnd w:id="77"/>
    </w:p>
    <w:p w14:paraId="5E982E52">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7.4.1 </w:t>
      </w:r>
      <w:r>
        <w:rPr>
          <w:rFonts w:hint="eastAsia" w:ascii="宋体" w:hAnsi="宋体" w:cs="宋体"/>
          <w:color w:val="auto"/>
          <w:sz w:val="24"/>
          <w:szCs w:val="24"/>
          <w:highlight w:val="none"/>
        </w:rPr>
        <w:t>除合同协议书或专用合同条款另有约定外，咨询人应自提交的工程造价咨询成果文件经委托人确认后20天内，向委托人提交酬金结清与支付申请书。</w:t>
      </w:r>
    </w:p>
    <w:p w14:paraId="10FDF3F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7.4.2 </w:t>
      </w:r>
      <w:r>
        <w:rPr>
          <w:rFonts w:hint="eastAsia" w:ascii="宋体" w:hAnsi="宋体" w:cs="宋体"/>
          <w:color w:val="auto"/>
          <w:sz w:val="24"/>
          <w:szCs w:val="24"/>
          <w:highlight w:val="none"/>
        </w:rPr>
        <w:t>除合同协议书或专用合同条款另有约定外，委托人应自收到咨询人提交的酬金结清与支付申请书之日起20天内审核确认，委托人逾期未审核确认也未提出异议的</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酬金结清与支付申请视为已被认可。</w:t>
      </w:r>
    </w:p>
    <w:p w14:paraId="6AC5F156">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7.4.3 </w:t>
      </w:r>
      <w:r>
        <w:rPr>
          <w:rFonts w:hint="eastAsia" w:ascii="宋体" w:hAnsi="宋体" w:cs="宋体"/>
          <w:color w:val="auto"/>
          <w:sz w:val="24"/>
          <w:szCs w:val="24"/>
          <w:highlight w:val="none"/>
        </w:rPr>
        <w:t>除合同协议书或专用合同条款另有约定外，委托人应自审核确认酬金结清与支付申请书之日起</w:t>
      </w:r>
      <w:r>
        <w:rPr>
          <w:rFonts w:ascii="宋体" w:hAnsi="宋体" w:cs="宋体"/>
          <w:color w:val="auto"/>
          <w:sz w:val="24"/>
          <w:szCs w:val="24"/>
          <w:highlight w:val="none"/>
        </w:rPr>
        <w:t>14</w:t>
      </w:r>
      <w:r>
        <w:rPr>
          <w:rFonts w:hint="eastAsia" w:ascii="宋体" w:hAnsi="宋体" w:cs="宋体"/>
          <w:color w:val="auto"/>
          <w:sz w:val="24"/>
          <w:szCs w:val="24"/>
          <w:highlight w:val="none"/>
        </w:rPr>
        <w:t>天内</w:t>
      </w:r>
      <w:r>
        <w:rPr>
          <w:rFonts w:hint="eastAsia" w:ascii="宋体" w:hAnsi="宋体" w:cs="宋体"/>
          <w:color w:val="auto"/>
          <w:kern w:val="0"/>
          <w:sz w:val="24"/>
          <w:szCs w:val="24"/>
          <w:highlight w:val="none"/>
        </w:rPr>
        <w:t>将结清未支付的</w:t>
      </w:r>
      <w:r>
        <w:rPr>
          <w:rFonts w:hint="eastAsia" w:ascii="宋体" w:hAnsi="宋体" w:cs="宋体"/>
          <w:color w:val="auto"/>
          <w:sz w:val="24"/>
          <w:szCs w:val="24"/>
          <w:highlight w:val="none"/>
        </w:rPr>
        <w:t>酬金</w:t>
      </w:r>
      <w:r>
        <w:rPr>
          <w:rFonts w:hint="eastAsia" w:ascii="宋体" w:hAnsi="宋体" w:cs="宋体"/>
          <w:color w:val="auto"/>
          <w:kern w:val="0"/>
          <w:sz w:val="24"/>
          <w:szCs w:val="24"/>
          <w:highlight w:val="none"/>
        </w:rPr>
        <w:t>一次性支付给咨询人</w:t>
      </w:r>
      <w:r>
        <w:rPr>
          <w:rFonts w:hint="eastAsia" w:ascii="宋体" w:hAnsi="宋体" w:cs="宋体"/>
          <w:color w:val="auto"/>
          <w:sz w:val="24"/>
          <w:szCs w:val="24"/>
          <w:highlight w:val="none"/>
        </w:rPr>
        <w:t>。委托人逾期支付的，按照中国人民银行发布的同期同类贷款基准利率支付违约金。</w:t>
      </w:r>
    </w:p>
    <w:p w14:paraId="400DB22E">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7.4.4 </w:t>
      </w:r>
      <w:r>
        <w:rPr>
          <w:rFonts w:hint="eastAsia" w:ascii="宋体" w:hAnsi="宋体" w:cs="宋体"/>
          <w:color w:val="auto"/>
          <w:sz w:val="24"/>
          <w:szCs w:val="24"/>
          <w:highlight w:val="none"/>
        </w:rPr>
        <w:t>委托人对咨询人提交的酬金结清与支付申请书有异议时，应当在收到咨询人提交的酬金结清与支付申请书后20天内，以书面形式向咨询人发出异议通知。无异议部分的款项应按期支付，有异议部分的款项按照第</w:t>
      </w:r>
      <w:r>
        <w:rPr>
          <w:rFonts w:ascii="宋体" w:hAnsi="宋体" w:cs="宋体"/>
          <w:color w:val="auto"/>
          <w:sz w:val="24"/>
          <w:szCs w:val="24"/>
          <w:highlight w:val="none"/>
        </w:rPr>
        <w:t>10</w:t>
      </w:r>
      <w:r>
        <w:rPr>
          <w:rFonts w:hint="eastAsia" w:ascii="宋体" w:hAnsi="宋体" w:cs="宋体"/>
          <w:color w:val="auto"/>
          <w:sz w:val="24"/>
          <w:szCs w:val="24"/>
          <w:highlight w:val="none"/>
        </w:rPr>
        <w:t>条〔争议解决〕的约定处理。</w:t>
      </w:r>
    </w:p>
    <w:p w14:paraId="2D166D57">
      <w:pPr>
        <w:keepNext/>
        <w:keepLines/>
        <w:spacing w:line="360" w:lineRule="auto"/>
        <w:ind w:left="630" w:leftChars="300"/>
        <w:outlineLvl w:val="2"/>
        <w:rPr>
          <w:rFonts w:ascii="宋体"/>
          <w:b/>
          <w:bCs/>
          <w:color w:val="auto"/>
          <w:sz w:val="24"/>
          <w:szCs w:val="24"/>
          <w:highlight w:val="none"/>
        </w:rPr>
      </w:pPr>
      <w:bookmarkStart w:id="78" w:name="_Toc407261929"/>
      <w:r>
        <w:rPr>
          <w:rFonts w:ascii="宋体" w:hAnsi="宋体" w:cs="宋体"/>
          <w:b/>
          <w:bCs/>
          <w:color w:val="auto"/>
          <w:sz w:val="24"/>
          <w:szCs w:val="24"/>
          <w:highlight w:val="none"/>
        </w:rPr>
        <w:t xml:space="preserve">7.5 </w:t>
      </w:r>
      <w:r>
        <w:rPr>
          <w:rFonts w:hint="eastAsia" w:ascii="宋体" w:hAnsi="宋体" w:cs="宋体"/>
          <w:b/>
          <w:bCs/>
          <w:color w:val="auto"/>
          <w:sz w:val="24"/>
          <w:szCs w:val="24"/>
          <w:highlight w:val="none"/>
        </w:rPr>
        <w:t>费用支付</w:t>
      </w:r>
      <w:bookmarkEnd w:id="78"/>
    </w:p>
    <w:p w14:paraId="72C9CBC5">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因工程建设需要，</w:t>
      </w:r>
      <w:r>
        <w:rPr>
          <w:rFonts w:hint="eastAsia" w:ascii="宋体" w:hAnsi="宋体" w:cs="宋体"/>
          <w:color w:val="auto"/>
          <w:sz w:val="24"/>
          <w:szCs w:val="24"/>
          <w:highlight w:val="none"/>
          <w:lang w:val="en-US" w:eastAsia="zh-CN"/>
        </w:rPr>
        <w:t>经委托人同意</w:t>
      </w:r>
      <w:r>
        <w:rPr>
          <w:rFonts w:hint="eastAsia" w:ascii="宋体" w:hAnsi="宋体" w:cs="宋体"/>
          <w:color w:val="auto"/>
          <w:sz w:val="24"/>
          <w:szCs w:val="24"/>
          <w:highlight w:val="none"/>
        </w:rPr>
        <w:t>由咨询人配合委托人组织的外出询价、考察以及聘请相关专家等发生的费用由委托人</w:t>
      </w:r>
      <w:r>
        <w:rPr>
          <w:rFonts w:hint="eastAsia" w:ascii="宋体" w:hAnsi="宋体" w:cs="宋体"/>
          <w:color w:val="auto"/>
          <w:sz w:val="24"/>
          <w:szCs w:val="24"/>
          <w:highlight w:val="none"/>
          <w:lang w:val="en-US" w:eastAsia="zh-CN"/>
        </w:rPr>
        <w:t>认可后</w:t>
      </w:r>
      <w:r>
        <w:rPr>
          <w:rFonts w:hint="eastAsia" w:ascii="宋体" w:hAnsi="宋体" w:cs="宋体"/>
          <w:color w:val="auto"/>
          <w:sz w:val="24"/>
          <w:szCs w:val="24"/>
          <w:highlight w:val="none"/>
        </w:rPr>
        <w:t>支付。</w:t>
      </w:r>
    </w:p>
    <w:p w14:paraId="45EA6075">
      <w:pPr>
        <w:keepNext/>
        <w:keepLines/>
        <w:spacing w:line="360" w:lineRule="auto"/>
        <w:outlineLvl w:val="1"/>
        <w:rPr>
          <w:rFonts w:ascii="宋体"/>
          <w:color w:val="auto"/>
          <w:sz w:val="24"/>
          <w:szCs w:val="24"/>
          <w:highlight w:val="none"/>
        </w:rPr>
      </w:pPr>
      <w:bookmarkStart w:id="79" w:name="_Toc407261930"/>
      <w:r>
        <w:rPr>
          <w:rFonts w:ascii="宋体" w:hAnsi="宋体" w:cs="宋体"/>
          <w:color w:val="auto"/>
          <w:sz w:val="24"/>
          <w:szCs w:val="24"/>
          <w:highlight w:val="none"/>
        </w:rPr>
        <w:t xml:space="preserve">8. </w:t>
      </w:r>
      <w:r>
        <w:rPr>
          <w:rFonts w:hint="eastAsia" w:ascii="宋体" w:hAnsi="宋体" w:cs="宋体"/>
          <w:color w:val="auto"/>
          <w:sz w:val="24"/>
          <w:szCs w:val="24"/>
          <w:highlight w:val="none"/>
        </w:rPr>
        <w:t>变更</w:t>
      </w:r>
      <w:bookmarkEnd w:id="79"/>
    </w:p>
    <w:p w14:paraId="2478FFA7">
      <w:pPr>
        <w:keepNext/>
        <w:keepLines/>
        <w:spacing w:line="360" w:lineRule="auto"/>
        <w:ind w:left="630" w:leftChars="300"/>
        <w:outlineLvl w:val="2"/>
        <w:rPr>
          <w:rFonts w:ascii="宋体"/>
          <w:b/>
          <w:bCs/>
          <w:color w:val="auto"/>
          <w:sz w:val="24"/>
          <w:szCs w:val="24"/>
          <w:highlight w:val="none"/>
        </w:rPr>
      </w:pPr>
      <w:bookmarkStart w:id="80" w:name="_Toc407261931"/>
      <w:bookmarkStart w:id="81" w:name="_Toc296503084"/>
      <w:bookmarkStart w:id="82" w:name="_Toc337558788"/>
      <w:bookmarkStart w:id="83" w:name="_Toc296346585"/>
      <w:r>
        <w:rPr>
          <w:rFonts w:ascii="宋体" w:hAnsi="宋体" w:cs="宋体"/>
          <w:b/>
          <w:bCs/>
          <w:color w:val="auto"/>
          <w:sz w:val="24"/>
          <w:szCs w:val="24"/>
          <w:highlight w:val="none"/>
        </w:rPr>
        <w:t xml:space="preserve">8.1 </w:t>
      </w:r>
      <w:r>
        <w:rPr>
          <w:rFonts w:hint="eastAsia" w:ascii="宋体" w:hAnsi="宋体" w:cs="宋体"/>
          <w:b/>
          <w:bCs/>
          <w:color w:val="auto"/>
          <w:sz w:val="24"/>
          <w:szCs w:val="24"/>
          <w:highlight w:val="none"/>
        </w:rPr>
        <w:t>变更的范围</w:t>
      </w:r>
      <w:bookmarkEnd w:id="80"/>
    </w:p>
    <w:bookmarkEnd w:id="81"/>
    <w:bookmarkEnd w:id="82"/>
    <w:bookmarkEnd w:id="83"/>
    <w:p w14:paraId="5E43414B">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合同履行过程中发生以下情形的，应按照本条约定进行变更：</w:t>
      </w:r>
    </w:p>
    <w:p w14:paraId="26A6EEF8">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扩大或缩小工程规模的；</w:t>
      </w:r>
    </w:p>
    <w:p w14:paraId="700319FC">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增加或减少咨询业务范围和工作内容的；</w:t>
      </w:r>
    </w:p>
    <w:p w14:paraId="0F0B4E88">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提高或降低咨询质量标准的；</w:t>
      </w:r>
    </w:p>
    <w:p w14:paraId="413384D6">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专用合同条款中约定的其他情形。</w:t>
      </w:r>
    </w:p>
    <w:p w14:paraId="74E10EAC">
      <w:pPr>
        <w:keepNext/>
        <w:keepLines/>
        <w:spacing w:line="360" w:lineRule="auto"/>
        <w:ind w:left="630" w:leftChars="300"/>
        <w:outlineLvl w:val="2"/>
        <w:rPr>
          <w:rFonts w:ascii="宋体"/>
          <w:b/>
          <w:bCs/>
          <w:color w:val="auto"/>
          <w:sz w:val="24"/>
          <w:szCs w:val="24"/>
          <w:highlight w:val="none"/>
        </w:rPr>
      </w:pPr>
      <w:bookmarkStart w:id="84" w:name="_Toc407261932"/>
      <w:r>
        <w:rPr>
          <w:rFonts w:ascii="宋体" w:hAnsi="宋体" w:cs="宋体"/>
          <w:b/>
          <w:bCs/>
          <w:color w:val="auto"/>
          <w:sz w:val="24"/>
          <w:szCs w:val="24"/>
          <w:highlight w:val="none"/>
        </w:rPr>
        <w:t xml:space="preserve">8.2 </w:t>
      </w:r>
      <w:r>
        <w:rPr>
          <w:rFonts w:hint="eastAsia" w:ascii="宋体" w:hAnsi="宋体" w:cs="宋体"/>
          <w:b/>
          <w:bCs/>
          <w:color w:val="auto"/>
          <w:sz w:val="24"/>
          <w:szCs w:val="24"/>
          <w:highlight w:val="none"/>
        </w:rPr>
        <w:t>变更引起的咨询酬金和期限调整</w:t>
      </w:r>
      <w:bookmarkEnd w:id="84"/>
    </w:p>
    <w:p w14:paraId="2A054636">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8.2.1 </w:t>
      </w:r>
      <w:r>
        <w:rPr>
          <w:rFonts w:hint="eastAsia" w:ascii="宋体" w:hAnsi="宋体" w:cs="宋体"/>
          <w:color w:val="auto"/>
          <w:sz w:val="24"/>
          <w:szCs w:val="24"/>
          <w:highlight w:val="none"/>
        </w:rPr>
        <w:t>变更引起的咨询酬金和期限调整，由咨询人根据变更导致咨询工作量变化大小，与委托人协商后</w:t>
      </w:r>
      <w:r>
        <w:rPr>
          <w:rFonts w:hint="eastAsia" w:ascii="宋体" w:hAnsi="宋体" w:cs="宋体"/>
          <w:color w:val="auto"/>
          <w:kern w:val="0"/>
          <w:sz w:val="24"/>
          <w:szCs w:val="24"/>
          <w:highlight w:val="none"/>
        </w:rPr>
        <w:t>做可共同接受的修改。</w:t>
      </w:r>
      <w:r>
        <w:rPr>
          <w:rFonts w:hint="eastAsia" w:ascii="宋体" w:hAnsi="宋体" w:cs="宋体"/>
          <w:color w:val="auto"/>
          <w:sz w:val="24"/>
          <w:szCs w:val="24"/>
          <w:highlight w:val="none"/>
        </w:rPr>
        <w:t>合同当事人也可在专用合同条款中约定变更引起的咨询酬金和期限调整的计算方法。</w:t>
      </w:r>
    </w:p>
    <w:p w14:paraId="19AE2F8D">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 xml:space="preserve">8.2.2 </w:t>
      </w:r>
      <w:r>
        <w:rPr>
          <w:rFonts w:hint="eastAsia" w:ascii="宋体" w:hAnsi="宋体" w:cs="宋体"/>
          <w:color w:val="auto"/>
          <w:sz w:val="24"/>
          <w:szCs w:val="24"/>
          <w:highlight w:val="none"/>
        </w:rPr>
        <w:t>咨询人应在收到委托人下达的变更指示后</w:t>
      </w:r>
      <w:r>
        <w:rPr>
          <w:rFonts w:ascii="宋体" w:hAnsi="宋体" w:cs="宋体"/>
          <w:color w:val="auto"/>
          <w:sz w:val="24"/>
          <w:szCs w:val="24"/>
          <w:highlight w:val="none"/>
        </w:rPr>
        <w:t>14</w:t>
      </w:r>
      <w:r>
        <w:rPr>
          <w:rFonts w:hint="eastAsia" w:ascii="宋体" w:hAnsi="宋体" w:cs="宋体"/>
          <w:color w:val="auto"/>
          <w:sz w:val="24"/>
          <w:szCs w:val="24"/>
          <w:highlight w:val="none"/>
        </w:rPr>
        <w:t>天内，向委托人提交变更引起的咨询酬金和期限调整申请。委托人应在咨询人提交申请后</w:t>
      </w:r>
      <w:r>
        <w:rPr>
          <w:rFonts w:ascii="宋体" w:hAnsi="宋体" w:cs="宋体"/>
          <w:color w:val="auto"/>
          <w:sz w:val="24"/>
          <w:szCs w:val="24"/>
          <w:highlight w:val="none"/>
        </w:rPr>
        <w:t>14</w:t>
      </w:r>
      <w:r>
        <w:rPr>
          <w:rFonts w:hint="eastAsia" w:ascii="宋体" w:hAnsi="宋体" w:cs="宋体"/>
          <w:color w:val="auto"/>
          <w:sz w:val="24"/>
          <w:szCs w:val="24"/>
          <w:highlight w:val="none"/>
        </w:rPr>
        <w:t>天内审批完毕。委托人逾期未完成审批或未提出异议的，视为认可咨询人提交的变更申请。</w:t>
      </w:r>
    </w:p>
    <w:p w14:paraId="134F7D37">
      <w:pPr>
        <w:keepNext/>
        <w:keepLines/>
        <w:spacing w:line="360" w:lineRule="auto"/>
        <w:ind w:left="630" w:leftChars="300"/>
        <w:outlineLvl w:val="2"/>
        <w:rPr>
          <w:rFonts w:ascii="宋体"/>
          <w:b/>
          <w:bCs/>
          <w:color w:val="auto"/>
          <w:sz w:val="24"/>
          <w:szCs w:val="24"/>
          <w:highlight w:val="none"/>
        </w:rPr>
      </w:pPr>
      <w:bookmarkStart w:id="85" w:name="_Toc407261933"/>
      <w:r>
        <w:rPr>
          <w:rFonts w:ascii="宋体" w:hAnsi="宋体" w:cs="宋体"/>
          <w:b/>
          <w:bCs/>
          <w:color w:val="auto"/>
          <w:sz w:val="24"/>
          <w:szCs w:val="24"/>
          <w:highlight w:val="none"/>
        </w:rPr>
        <w:t xml:space="preserve">8.3 </w:t>
      </w:r>
      <w:r>
        <w:rPr>
          <w:rFonts w:hint="eastAsia" w:ascii="宋体" w:hAnsi="宋体" w:cs="宋体"/>
          <w:b/>
          <w:bCs/>
          <w:color w:val="auto"/>
          <w:sz w:val="24"/>
          <w:szCs w:val="24"/>
          <w:highlight w:val="none"/>
        </w:rPr>
        <w:t>咨询人的合理化建议</w:t>
      </w:r>
      <w:bookmarkEnd w:id="85"/>
    </w:p>
    <w:p w14:paraId="4CC3E56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咨询人可以向委托人提出合理化建议并说明实施该建议对工程造价和工期的影响。</w:t>
      </w:r>
    </w:p>
    <w:p w14:paraId="21C1160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41F1ADCB">
      <w:pPr>
        <w:keepNext/>
        <w:keepLines/>
        <w:spacing w:line="360" w:lineRule="auto"/>
        <w:outlineLvl w:val="1"/>
        <w:rPr>
          <w:rFonts w:ascii="宋体"/>
          <w:color w:val="auto"/>
          <w:sz w:val="24"/>
          <w:szCs w:val="24"/>
          <w:highlight w:val="none"/>
        </w:rPr>
      </w:pPr>
      <w:bookmarkStart w:id="86" w:name="_Toc407261934"/>
      <w:r>
        <w:rPr>
          <w:rFonts w:ascii="宋体" w:hAnsi="宋体" w:cs="宋体"/>
          <w:color w:val="auto"/>
          <w:sz w:val="24"/>
          <w:szCs w:val="24"/>
          <w:highlight w:val="none"/>
        </w:rPr>
        <w:t xml:space="preserve">9. </w:t>
      </w:r>
      <w:r>
        <w:rPr>
          <w:rFonts w:hint="eastAsia" w:ascii="宋体" w:hAnsi="宋体" w:cs="宋体"/>
          <w:color w:val="auto"/>
          <w:sz w:val="24"/>
          <w:szCs w:val="24"/>
          <w:highlight w:val="none"/>
        </w:rPr>
        <w:t>违约</w:t>
      </w:r>
      <w:bookmarkEnd w:id="86"/>
    </w:p>
    <w:p w14:paraId="4C1AD391">
      <w:pPr>
        <w:keepNext/>
        <w:keepLines/>
        <w:spacing w:line="360" w:lineRule="auto"/>
        <w:ind w:left="630" w:leftChars="300"/>
        <w:outlineLvl w:val="2"/>
        <w:rPr>
          <w:rFonts w:ascii="宋体"/>
          <w:b/>
          <w:bCs/>
          <w:color w:val="auto"/>
          <w:sz w:val="24"/>
          <w:szCs w:val="24"/>
          <w:highlight w:val="none"/>
        </w:rPr>
      </w:pPr>
      <w:bookmarkStart w:id="87" w:name="_Toc407261935"/>
      <w:r>
        <w:rPr>
          <w:rFonts w:ascii="宋体" w:hAnsi="宋体" w:cs="宋体"/>
          <w:b/>
          <w:bCs/>
          <w:color w:val="auto"/>
          <w:sz w:val="24"/>
          <w:szCs w:val="24"/>
          <w:highlight w:val="none"/>
        </w:rPr>
        <w:t xml:space="preserve">9.1 </w:t>
      </w:r>
      <w:r>
        <w:rPr>
          <w:rFonts w:hint="eastAsia" w:ascii="宋体" w:hAnsi="宋体" w:cs="宋体"/>
          <w:b/>
          <w:bCs/>
          <w:color w:val="auto"/>
          <w:sz w:val="24"/>
          <w:szCs w:val="24"/>
          <w:highlight w:val="none"/>
        </w:rPr>
        <w:t>委托人违约</w:t>
      </w:r>
      <w:bookmarkEnd w:id="87"/>
    </w:p>
    <w:p w14:paraId="50664D8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0F88F009">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除专用合同条款另有约定外，委托人收到咨询人通知后</w:t>
      </w:r>
      <w:r>
        <w:rPr>
          <w:rFonts w:ascii="宋体" w:hAnsi="宋体" w:cs="宋体"/>
          <w:color w:val="auto"/>
          <w:sz w:val="24"/>
          <w:szCs w:val="24"/>
          <w:highlight w:val="none"/>
        </w:rPr>
        <w:t>56</w:t>
      </w:r>
      <w:r>
        <w:rPr>
          <w:rFonts w:hint="eastAsia" w:ascii="宋体" w:hAnsi="宋体" w:cs="宋体"/>
          <w:color w:val="auto"/>
          <w:sz w:val="24"/>
          <w:szCs w:val="24"/>
          <w:highlight w:val="none"/>
        </w:rPr>
        <w:t>天内仍不纠正其违约行为且影响咨询工作正常开展的，咨询人有权解除合同。委托人应在解除合同后</w:t>
      </w:r>
      <w:r>
        <w:rPr>
          <w:rFonts w:ascii="宋体" w:hAnsi="宋体" w:cs="宋体"/>
          <w:color w:val="auto"/>
          <w:sz w:val="24"/>
          <w:szCs w:val="24"/>
          <w:highlight w:val="none"/>
        </w:rPr>
        <w:t>28</w:t>
      </w:r>
      <w:r>
        <w:rPr>
          <w:rFonts w:hint="eastAsia" w:ascii="宋体" w:hAnsi="宋体" w:cs="宋体"/>
          <w:color w:val="auto"/>
          <w:sz w:val="24"/>
          <w:szCs w:val="24"/>
          <w:highlight w:val="none"/>
        </w:rPr>
        <w:t>天内按专用合同条款的约定完成已完咨询业务酬金结算和付款。合同当事人未能就解除合同后的结清达成一致的，按照第</w:t>
      </w:r>
      <w:r>
        <w:rPr>
          <w:rFonts w:ascii="宋体" w:hAnsi="宋体" w:cs="宋体"/>
          <w:color w:val="auto"/>
          <w:sz w:val="24"/>
          <w:szCs w:val="24"/>
          <w:highlight w:val="none"/>
        </w:rPr>
        <w:t>10</w:t>
      </w:r>
      <w:r>
        <w:rPr>
          <w:rFonts w:hint="eastAsia" w:ascii="宋体" w:hAnsi="宋体" w:cs="宋体"/>
          <w:color w:val="auto"/>
          <w:sz w:val="24"/>
          <w:szCs w:val="24"/>
          <w:highlight w:val="none"/>
        </w:rPr>
        <w:t>条〔争议解决〕的约定处理。</w:t>
      </w:r>
    </w:p>
    <w:p w14:paraId="31D93B80">
      <w:pPr>
        <w:keepNext/>
        <w:keepLines/>
        <w:spacing w:line="360" w:lineRule="auto"/>
        <w:ind w:left="630" w:leftChars="300"/>
        <w:outlineLvl w:val="2"/>
        <w:rPr>
          <w:rFonts w:ascii="宋体"/>
          <w:b/>
          <w:bCs/>
          <w:color w:val="auto"/>
          <w:sz w:val="24"/>
          <w:szCs w:val="24"/>
          <w:highlight w:val="none"/>
        </w:rPr>
      </w:pPr>
      <w:bookmarkStart w:id="88" w:name="_Toc407261936"/>
      <w:r>
        <w:rPr>
          <w:rFonts w:ascii="宋体" w:hAnsi="宋体" w:cs="宋体"/>
          <w:b/>
          <w:bCs/>
          <w:color w:val="auto"/>
          <w:sz w:val="24"/>
          <w:szCs w:val="24"/>
          <w:highlight w:val="none"/>
        </w:rPr>
        <w:t xml:space="preserve">9.2 </w:t>
      </w:r>
      <w:r>
        <w:rPr>
          <w:rFonts w:hint="eastAsia" w:ascii="宋体" w:hAnsi="宋体" w:cs="宋体"/>
          <w:b/>
          <w:bCs/>
          <w:color w:val="auto"/>
          <w:sz w:val="24"/>
          <w:szCs w:val="24"/>
          <w:highlight w:val="none"/>
        </w:rPr>
        <w:t>咨询人违约</w:t>
      </w:r>
      <w:bookmarkEnd w:id="88"/>
    </w:p>
    <w:p w14:paraId="0D9912C8">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0D77FBB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除专用合同条款另有约定外，委托人发出整改通知后，咨询人在指定的合理期限内仍不纠正违约行为，委托人有权解除合同。合同当事人应在解除合同后</w:t>
      </w:r>
      <w:r>
        <w:rPr>
          <w:rFonts w:ascii="宋体" w:hAnsi="宋体" w:cs="宋体"/>
          <w:color w:val="auto"/>
          <w:sz w:val="24"/>
          <w:szCs w:val="24"/>
          <w:highlight w:val="none"/>
        </w:rPr>
        <w:t>28</w:t>
      </w:r>
      <w:r>
        <w:rPr>
          <w:rFonts w:hint="eastAsia" w:ascii="宋体" w:hAnsi="宋体" w:cs="宋体"/>
          <w:color w:val="auto"/>
          <w:sz w:val="24"/>
          <w:szCs w:val="24"/>
          <w:highlight w:val="none"/>
        </w:rPr>
        <w:t>天内按专用合同条款的约定完成已完咨询业务酬金结算和付款。合同当事人未能就解除合同后的结清达成一致的，按照第</w:t>
      </w:r>
      <w:r>
        <w:rPr>
          <w:rFonts w:ascii="宋体" w:hAnsi="宋体" w:cs="宋体"/>
          <w:color w:val="auto"/>
          <w:sz w:val="24"/>
          <w:szCs w:val="24"/>
          <w:highlight w:val="none"/>
        </w:rPr>
        <w:t>10</w:t>
      </w:r>
      <w:r>
        <w:rPr>
          <w:rFonts w:hint="eastAsia" w:ascii="宋体" w:hAnsi="宋体" w:cs="宋体"/>
          <w:color w:val="auto"/>
          <w:sz w:val="24"/>
          <w:szCs w:val="24"/>
          <w:highlight w:val="none"/>
        </w:rPr>
        <w:t>条〔争议解决〕的约定处理。</w:t>
      </w:r>
    </w:p>
    <w:p w14:paraId="1C852521">
      <w:pPr>
        <w:keepNext/>
        <w:keepLines/>
        <w:spacing w:line="360" w:lineRule="auto"/>
        <w:ind w:left="630" w:leftChars="300"/>
        <w:outlineLvl w:val="2"/>
        <w:rPr>
          <w:rFonts w:ascii="宋体"/>
          <w:b/>
          <w:bCs/>
          <w:color w:val="auto"/>
          <w:sz w:val="24"/>
          <w:szCs w:val="24"/>
          <w:highlight w:val="none"/>
        </w:rPr>
      </w:pPr>
      <w:bookmarkStart w:id="89" w:name="_Toc407261937"/>
      <w:r>
        <w:rPr>
          <w:rFonts w:ascii="宋体" w:hAnsi="宋体" w:cs="宋体"/>
          <w:b/>
          <w:bCs/>
          <w:color w:val="auto"/>
          <w:sz w:val="24"/>
          <w:szCs w:val="24"/>
          <w:highlight w:val="none"/>
        </w:rPr>
        <w:t xml:space="preserve">9.3 </w:t>
      </w:r>
      <w:r>
        <w:rPr>
          <w:rFonts w:hint="eastAsia" w:ascii="宋体" w:hAnsi="宋体" w:cs="宋体"/>
          <w:b/>
          <w:bCs/>
          <w:color w:val="auto"/>
          <w:sz w:val="24"/>
          <w:szCs w:val="24"/>
          <w:highlight w:val="none"/>
        </w:rPr>
        <w:t>第三人造成的违约</w:t>
      </w:r>
      <w:bookmarkEnd w:id="89"/>
    </w:p>
    <w:p w14:paraId="30C1E85D">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69613E90">
      <w:pPr>
        <w:keepNext/>
        <w:keepLines/>
        <w:spacing w:line="360" w:lineRule="auto"/>
        <w:outlineLvl w:val="1"/>
        <w:rPr>
          <w:rFonts w:ascii="宋体"/>
          <w:color w:val="auto"/>
          <w:sz w:val="24"/>
          <w:szCs w:val="24"/>
          <w:highlight w:val="none"/>
        </w:rPr>
      </w:pPr>
      <w:bookmarkStart w:id="90" w:name="_Toc407261938"/>
      <w:r>
        <w:rPr>
          <w:rFonts w:ascii="宋体" w:hAnsi="宋体" w:cs="宋体"/>
          <w:color w:val="auto"/>
          <w:sz w:val="24"/>
          <w:szCs w:val="24"/>
          <w:highlight w:val="none"/>
        </w:rPr>
        <w:t xml:space="preserve">10. </w:t>
      </w:r>
      <w:r>
        <w:rPr>
          <w:rFonts w:hint="eastAsia" w:ascii="宋体" w:hAnsi="宋体" w:cs="宋体"/>
          <w:color w:val="auto"/>
          <w:sz w:val="24"/>
          <w:szCs w:val="24"/>
          <w:highlight w:val="none"/>
        </w:rPr>
        <w:t>争议解决</w:t>
      </w:r>
      <w:bookmarkEnd w:id="90"/>
    </w:p>
    <w:p w14:paraId="237DF34C">
      <w:pPr>
        <w:keepNext/>
        <w:keepLines/>
        <w:spacing w:line="360" w:lineRule="auto"/>
        <w:ind w:left="630" w:leftChars="300"/>
        <w:outlineLvl w:val="2"/>
        <w:rPr>
          <w:rFonts w:ascii="宋体"/>
          <w:b/>
          <w:bCs/>
          <w:color w:val="auto"/>
          <w:sz w:val="24"/>
          <w:szCs w:val="24"/>
          <w:highlight w:val="none"/>
        </w:rPr>
      </w:pPr>
      <w:bookmarkStart w:id="91" w:name="_Toc407261939"/>
      <w:bookmarkStart w:id="92" w:name="_Toc296346648"/>
      <w:bookmarkStart w:id="93" w:name="_Toc296503147"/>
      <w:bookmarkStart w:id="94" w:name="_Toc337558841"/>
      <w:r>
        <w:rPr>
          <w:rFonts w:ascii="宋体" w:hAnsi="宋体" w:cs="宋体"/>
          <w:b/>
          <w:bCs/>
          <w:color w:val="auto"/>
          <w:sz w:val="24"/>
          <w:szCs w:val="24"/>
          <w:highlight w:val="none"/>
        </w:rPr>
        <w:t xml:space="preserve">10.1 </w:t>
      </w:r>
      <w:r>
        <w:rPr>
          <w:rFonts w:hint="eastAsia" w:ascii="宋体" w:hAnsi="宋体" w:cs="宋体"/>
          <w:b/>
          <w:bCs/>
          <w:color w:val="auto"/>
          <w:sz w:val="24"/>
          <w:szCs w:val="24"/>
          <w:highlight w:val="none"/>
        </w:rPr>
        <w:t>和解</w:t>
      </w:r>
      <w:bookmarkEnd w:id="91"/>
    </w:p>
    <w:bookmarkEnd w:id="92"/>
    <w:bookmarkEnd w:id="93"/>
    <w:bookmarkEnd w:id="94"/>
    <w:p w14:paraId="289B2DE5">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合同当事人可以就争议自行和解，自行和解达成协议的经双方签字并盖章后作为合同补充文件，双方均应遵照执行。</w:t>
      </w:r>
    </w:p>
    <w:p w14:paraId="17B802F6">
      <w:pPr>
        <w:keepNext/>
        <w:keepLines/>
        <w:spacing w:line="360" w:lineRule="auto"/>
        <w:ind w:left="630" w:leftChars="300"/>
        <w:outlineLvl w:val="2"/>
        <w:rPr>
          <w:rFonts w:ascii="宋体"/>
          <w:b/>
          <w:bCs/>
          <w:color w:val="auto"/>
          <w:sz w:val="24"/>
          <w:szCs w:val="24"/>
          <w:highlight w:val="none"/>
        </w:rPr>
      </w:pPr>
      <w:bookmarkStart w:id="95" w:name="_Toc407261940"/>
      <w:r>
        <w:rPr>
          <w:rFonts w:ascii="宋体" w:hAnsi="宋体" w:cs="宋体"/>
          <w:b/>
          <w:bCs/>
          <w:color w:val="auto"/>
          <w:sz w:val="24"/>
          <w:szCs w:val="24"/>
          <w:highlight w:val="none"/>
        </w:rPr>
        <w:t>10</w:t>
      </w:r>
      <w:bookmarkStart w:id="96" w:name="_Toc337558842"/>
      <w:bookmarkStart w:id="97" w:name="_Toc296503148"/>
      <w:bookmarkStart w:id="98" w:name="_Toc296346649"/>
      <w:r>
        <w:rPr>
          <w:rFonts w:ascii="宋体" w:hAnsi="宋体" w:cs="宋体"/>
          <w:b/>
          <w:bCs/>
          <w:color w:val="auto"/>
          <w:sz w:val="24"/>
          <w:szCs w:val="24"/>
          <w:highlight w:val="none"/>
        </w:rPr>
        <w:t xml:space="preserve">.2 </w:t>
      </w:r>
      <w:r>
        <w:rPr>
          <w:rFonts w:hint="eastAsia" w:ascii="宋体" w:hAnsi="宋体" w:cs="宋体"/>
          <w:b/>
          <w:bCs/>
          <w:color w:val="auto"/>
          <w:sz w:val="24"/>
          <w:szCs w:val="24"/>
          <w:highlight w:val="none"/>
        </w:rPr>
        <w:t>调解</w:t>
      </w:r>
      <w:bookmarkEnd w:id="95"/>
    </w:p>
    <w:bookmarkEnd w:id="96"/>
    <w:bookmarkEnd w:id="97"/>
    <w:bookmarkEnd w:id="98"/>
    <w:p w14:paraId="20C65DAD">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1CD62BA8">
      <w:pPr>
        <w:keepNext/>
        <w:keepLines/>
        <w:spacing w:line="360" w:lineRule="auto"/>
        <w:ind w:left="630" w:leftChars="300"/>
        <w:outlineLvl w:val="2"/>
        <w:rPr>
          <w:rFonts w:ascii="宋体"/>
          <w:b/>
          <w:bCs/>
          <w:color w:val="auto"/>
          <w:sz w:val="24"/>
          <w:szCs w:val="24"/>
          <w:highlight w:val="none"/>
        </w:rPr>
      </w:pPr>
      <w:bookmarkStart w:id="99" w:name="_Toc407261941"/>
      <w:r>
        <w:rPr>
          <w:rFonts w:ascii="宋体" w:hAnsi="宋体" w:cs="宋体"/>
          <w:b/>
          <w:bCs/>
          <w:color w:val="auto"/>
          <w:sz w:val="24"/>
          <w:szCs w:val="24"/>
          <w:highlight w:val="none"/>
        </w:rPr>
        <w:t xml:space="preserve">10.3 </w:t>
      </w:r>
      <w:r>
        <w:rPr>
          <w:rFonts w:hint="eastAsia" w:ascii="宋体" w:hAnsi="宋体" w:cs="宋体"/>
          <w:b/>
          <w:bCs/>
          <w:color w:val="auto"/>
          <w:sz w:val="24"/>
          <w:szCs w:val="24"/>
          <w:highlight w:val="none"/>
        </w:rPr>
        <w:t>仲裁或诉讼</w:t>
      </w:r>
      <w:bookmarkEnd w:id="99"/>
    </w:p>
    <w:p w14:paraId="1112E78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因合同及合同有关事项产生的争议，合同当事人可以在专用合同条款中约定下列任意一种方式解决争议：</w:t>
      </w:r>
    </w:p>
    <w:p w14:paraId="3B6DAADF">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向约定的仲裁委员会申请仲裁；</w:t>
      </w:r>
    </w:p>
    <w:p w14:paraId="64EF5C07">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向有管辖权的人民法院起诉。</w:t>
      </w:r>
    </w:p>
    <w:p w14:paraId="6AF950A4">
      <w:pPr>
        <w:keepNext/>
        <w:keepLines/>
        <w:spacing w:line="360" w:lineRule="auto"/>
        <w:ind w:left="630" w:leftChars="300"/>
        <w:outlineLvl w:val="2"/>
        <w:rPr>
          <w:rFonts w:ascii="宋体"/>
          <w:b/>
          <w:bCs/>
          <w:color w:val="auto"/>
          <w:sz w:val="24"/>
          <w:szCs w:val="24"/>
          <w:highlight w:val="none"/>
        </w:rPr>
      </w:pPr>
      <w:bookmarkStart w:id="100" w:name="_Toc407261942"/>
      <w:r>
        <w:rPr>
          <w:rFonts w:ascii="宋体" w:hAnsi="宋体" w:cs="宋体"/>
          <w:b/>
          <w:bCs/>
          <w:color w:val="auto"/>
          <w:sz w:val="24"/>
          <w:szCs w:val="24"/>
          <w:highlight w:val="none"/>
        </w:rPr>
        <w:t xml:space="preserve">10.4 </w:t>
      </w:r>
      <w:r>
        <w:rPr>
          <w:rFonts w:hint="eastAsia" w:ascii="宋体" w:hAnsi="宋体" w:cs="宋体"/>
          <w:b/>
          <w:bCs/>
          <w:color w:val="auto"/>
          <w:sz w:val="24"/>
          <w:szCs w:val="24"/>
          <w:highlight w:val="none"/>
        </w:rPr>
        <w:t>争议解决条款效力</w:t>
      </w:r>
      <w:bookmarkEnd w:id="100"/>
    </w:p>
    <w:p w14:paraId="5320938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合同有关争议解决的条款独立存在，合同的变更、解除、终止、无效或者被撤销均不影响其效力。</w:t>
      </w:r>
    </w:p>
    <w:p w14:paraId="26A15D31">
      <w:pPr>
        <w:widowControl/>
        <w:spacing w:line="360" w:lineRule="auto"/>
        <w:jc w:val="center"/>
        <w:rPr>
          <w:rFonts w:ascii="宋体"/>
          <w:b/>
          <w:bCs/>
          <w:color w:val="auto"/>
          <w:kern w:val="44"/>
          <w:sz w:val="24"/>
          <w:szCs w:val="24"/>
          <w:highlight w:val="none"/>
        </w:rPr>
      </w:pPr>
      <w:r>
        <w:rPr>
          <w:rFonts w:ascii="宋体"/>
          <w:color w:val="auto"/>
          <w:sz w:val="24"/>
          <w:szCs w:val="24"/>
          <w:highlight w:val="none"/>
        </w:rPr>
        <w:br w:type="page"/>
      </w:r>
      <w:bookmarkStart w:id="101" w:name="_Toc407261943"/>
      <w:r>
        <w:rPr>
          <w:rFonts w:hint="eastAsia" w:ascii="宋体" w:hAnsi="宋体" w:cs="宋体"/>
          <w:b/>
          <w:bCs/>
          <w:color w:val="auto"/>
          <w:kern w:val="44"/>
          <w:sz w:val="24"/>
          <w:szCs w:val="24"/>
          <w:highlight w:val="none"/>
        </w:rPr>
        <w:t>第三部分</w:t>
      </w:r>
      <w:r>
        <w:rPr>
          <w:rFonts w:ascii="宋体" w:hAnsi="宋体" w:cs="宋体"/>
          <w:b/>
          <w:bCs/>
          <w:color w:val="auto"/>
          <w:kern w:val="44"/>
          <w:sz w:val="24"/>
          <w:szCs w:val="24"/>
          <w:highlight w:val="none"/>
        </w:rPr>
        <w:t xml:space="preserve">  </w:t>
      </w:r>
      <w:r>
        <w:rPr>
          <w:rFonts w:hint="eastAsia" w:ascii="宋体" w:hAnsi="宋体" w:cs="宋体"/>
          <w:b/>
          <w:bCs/>
          <w:color w:val="auto"/>
          <w:kern w:val="44"/>
          <w:sz w:val="24"/>
          <w:szCs w:val="24"/>
          <w:highlight w:val="none"/>
        </w:rPr>
        <w:t>专用合同条款</w:t>
      </w:r>
      <w:bookmarkEnd w:id="101"/>
    </w:p>
    <w:p w14:paraId="53B8285F">
      <w:pPr>
        <w:keepNext/>
        <w:keepLines/>
        <w:spacing w:line="360" w:lineRule="auto"/>
        <w:outlineLvl w:val="1"/>
        <w:rPr>
          <w:rFonts w:ascii="宋体"/>
          <w:b/>
          <w:bCs/>
          <w:color w:val="auto"/>
          <w:sz w:val="24"/>
          <w:szCs w:val="24"/>
          <w:highlight w:val="none"/>
        </w:rPr>
      </w:pPr>
      <w:bookmarkStart w:id="102" w:name="_Toc407261944"/>
      <w:bookmarkStart w:id="103" w:name="_Toc351203633"/>
      <w:r>
        <w:rPr>
          <w:rFonts w:ascii="宋体" w:hAnsi="宋体" w:cs="宋体"/>
          <w:b/>
          <w:bCs/>
          <w:color w:val="auto"/>
          <w:sz w:val="24"/>
          <w:szCs w:val="24"/>
          <w:highlight w:val="none"/>
        </w:rPr>
        <w:t>1</w:t>
      </w:r>
      <w:bookmarkStart w:id="104" w:name="_Toc292559866"/>
      <w:bookmarkStart w:id="105" w:name="_Toc297048342"/>
      <w:bookmarkStart w:id="106" w:name="_Toc297120456"/>
      <w:bookmarkStart w:id="107" w:name="_Toc296503156"/>
      <w:bookmarkStart w:id="108" w:name="_Toc296944495"/>
      <w:bookmarkStart w:id="109" w:name="_Toc292559361"/>
      <w:bookmarkStart w:id="110" w:name="_Toc296890984"/>
      <w:bookmarkStart w:id="111" w:name="_Toc296347155"/>
      <w:bookmarkStart w:id="112" w:name="_Toc296891196"/>
      <w:bookmarkStart w:id="113" w:name="_Toc296346657"/>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一般约定</w:t>
      </w:r>
      <w:bookmarkEnd w:id="102"/>
      <w:bookmarkEnd w:id="103"/>
    </w:p>
    <w:bookmarkEnd w:id="104"/>
    <w:bookmarkEnd w:id="105"/>
    <w:bookmarkEnd w:id="106"/>
    <w:bookmarkEnd w:id="107"/>
    <w:bookmarkEnd w:id="108"/>
    <w:bookmarkEnd w:id="109"/>
    <w:bookmarkEnd w:id="110"/>
    <w:bookmarkEnd w:id="111"/>
    <w:bookmarkEnd w:id="112"/>
    <w:bookmarkEnd w:id="113"/>
    <w:p w14:paraId="08BADA8F">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法律</w:t>
      </w:r>
    </w:p>
    <w:p w14:paraId="57A29E59">
      <w:pPr>
        <w:autoSpaceDE w:val="0"/>
        <w:autoSpaceDN w:val="0"/>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适用于合同的其他规范性文件：</w:t>
      </w:r>
      <w:r>
        <w:rPr>
          <w:rFonts w:ascii="MingLiU_HKSCS" w:hAnsi="MingLiU_HKSCS" w:cs="MingLiU_HKSCS"/>
          <w:color w:val="auto"/>
          <w:sz w:val="24"/>
          <w:szCs w:val="24"/>
          <w:highlight w:val="none"/>
          <w:u w:val="single"/>
        </w:rPr>
        <w:t xml:space="preserve"> </w:t>
      </w:r>
      <w:r>
        <w:rPr>
          <w:rFonts w:hint="eastAsia" w:ascii="MingLiU_HKSCS" w:hAnsi="MingLiU_HKSCS" w:cs="宋体"/>
          <w:color w:val="auto"/>
          <w:sz w:val="24"/>
          <w:szCs w:val="24"/>
          <w:highlight w:val="none"/>
          <w:u w:val="single"/>
        </w:rPr>
        <w:t>《中华人民共和国</w:t>
      </w:r>
      <w:r>
        <w:rPr>
          <w:rFonts w:hint="eastAsia" w:ascii="MingLiU_HKSCS" w:hAnsi="MingLiU_HKSCS" w:cs="宋体"/>
          <w:color w:val="auto"/>
          <w:sz w:val="24"/>
          <w:szCs w:val="24"/>
          <w:highlight w:val="none"/>
          <w:u w:val="single"/>
          <w:lang w:eastAsia="zh-CN"/>
        </w:rPr>
        <w:t>民法典</w:t>
      </w:r>
      <w:r>
        <w:rPr>
          <w:rFonts w:hint="eastAsia" w:ascii="MingLiU_HKSCS" w:hAnsi="MingLiU_HKSCS" w:cs="宋体"/>
          <w:color w:val="auto"/>
          <w:sz w:val="24"/>
          <w:szCs w:val="24"/>
          <w:highlight w:val="none"/>
          <w:u w:val="single"/>
        </w:rPr>
        <w:t>》及其他有关法律、法规文件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BC77CBA">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标准和规范</w:t>
      </w:r>
    </w:p>
    <w:p w14:paraId="65E1803F">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适用于工程造价咨询的标准规范包括：</w:t>
      </w:r>
      <w:r>
        <w:rPr>
          <w:rFonts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u w:val="single"/>
        </w:rPr>
        <w:t>中价协</w:t>
      </w:r>
      <w:r>
        <w:rPr>
          <w:rFonts w:ascii="宋体" w:hAnsi="宋体" w:cs="宋体"/>
          <w:color w:val="auto"/>
          <w:sz w:val="24"/>
          <w:szCs w:val="24"/>
          <w:highlight w:val="none"/>
          <w:u w:val="single"/>
        </w:rPr>
        <w:t>[2012]011</w:t>
      </w:r>
      <w:r>
        <w:rPr>
          <w:rFonts w:hint="eastAsia" w:ascii="宋体" w:hAnsi="宋体" w:cs="宋体"/>
          <w:color w:val="auto"/>
          <w:sz w:val="24"/>
          <w:szCs w:val="24"/>
          <w:highlight w:val="none"/>
          <w:u w:val="single"/>
        </w:rPr>
        <w:t>号《建设工程造价咨询成果文件质量标准》</w:t>
      </w:r>
      <w:r>
        <w:rPr>
          <w:rFonts w:ascii="MingLiU_HKSCS" w:hAnsi="MingLiU_HKSCS" w:cs="MingLiU_HKSCS"/>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02C8BE7">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3</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合同文件的优先顺序</w:t>
      </w:r>
    </w:p>
    <w:p w14:paraId="71B7EBB5">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合同文件组成及优先顺序为：</w:t>
      </w:r>
      <w:r>
        <w:rPr>
          <w:rFonts w:ascii="MingLiU_HKSCS" w:hAnsi="MingLiU_HKSCS" w:cs="MingLiU_HKSCS"/>
          <w:color w:val="auto"/>
          <w:sz w:val="24"/>
          <w:szCs w:val="24"/>
          <w:highlight w:val="none"/>
          <w:u w:val="single"/>
        </w:rPr>
        <w:t xml:space="preserve">   </w:t>
      </w:r>
      <w:r>
        <w:rPr>
          <w:rFonts w:hint="eastAsia" w:ascii="MingLiU_HKSCS" w:hAnsi="MingLiU_HKSCS" w:cs="MingLiU_HKSCS"/>
          <w:color w:val="auto"/>
          <w:sz w:val="24"/>
          <w:szCs w:val="24"/>
          <w:highlight w:val="none"/>
          <w:u w:val="single"/>
          <w:lang w:val="en-US" w:eastAsia="zh-CN"/>
        </w:rPr>
        <w:t>按照通用合同1.5条执行</w:t>
      </w:r>
      <w:r>
        <w:rPr>
          <w:rFonts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rPr>
        <w:t>。</w:t>
      </w:r>
    </w:p>
    <w:p w14:paraId="39353EE2">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4</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联络</w:t>
      </w:r>
    </w:p>
    <w:p w14:paraId="45F2B246">
      <w:pPr>
        <w:spacing w:line="360" w:lineRule="auto"/>
        <w:ind w:firstLine="480" w:firstLineChars="200"/>
        <w:rPr>
          <w:rFonts w:ascii="宋体"/>
          <w:color w:val="auto"/>
          <w:kern w:val="0"/>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.1</w:t>
      </w:r>
      <w:r>
        <w:rPr>
          <w:rFonts w:hint="eastAsia" w:ascii="宋体" w:hAnsi="宋体" w:cs="宋体"/>
          <w:color w:val="auto"/>
          <w:kern w:val="0"/>
          <w:sz w:val="24"/>
          <w:szCs w:val="24"/>
          <w:highlight w:val="none"/>
        </w:rPr>
        <w:t>委托人和咨询人应当在</w:t>
      </w:r>
      <w:r>
        <w:rPr>
          <w:rFonts w:ascii="宋体" w:hAnsi="宋体" w:cs="宋体"/>
          <w:color w:val="auto"/>
          <w:sz w:val="24"/>
          <w:szCs w:val="24"/>
          <w:highlight w:val="none"/>
          <w:u w:val="single"/>
        </w:rPr>
        <w:t xml:space="preserve"> 3 </w:t>
      </w:r>
      <w:r>
        <w:rPr>
          <w:rFonts w:hint="eastAsia" w:ascii="宋体" w:hAnsi="宋体" w:cs="宋体"/>
          <w:color w:val="auto"/>
          <w:kern w:val="0"/>
          <w:sz w:val="24"/>
          <w:szCs w:val="24"/>
          <w:highlight w:val="none"/>
        </w:rPr>
        <w:t>天内将与合同有关的通知、批准、证明、证书、指示、指令、要求、请求、同意、意见、确定和决定等书面函件送达对方当事人。</w:t>
      </w:r>
    </w:p>
    <w:p w14:paraId="5AC5A618">
      <w:pPr>
        <w:spacing w:line="360" w:lineRule="auto"/>
        <w:ind w:firstLine="480" w:firstLineChars="200"/>
        <w:rPr>
          <w:rFonts w:hint="eastAsia" w:ascii="宋体" w:hAnsi="宋体"/>
          <w:color w:val="auto"/>
          <w:kern w:val="0"/>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.2</w:t>
      </w:r>
      <w:r>
        <w:rPr>
          <w:rFonts w:hint="eastAsia" w:ascii="宋体" w:hAnsi="宋体"/>
          <w:color w:val="auto"/>
          <w:kern w:val="0"/>
          <w:sz w:val="24"/>
          <w:highlight w:val="none"/>
        </w:rPr>
        <w:t xml:space="preserve"> 委托人接收文件的地点：</w:t>
      </w:r>
      <w:r>
        <w:rPr>
          <w:rFonts w:hint="eastAsia" w:ascii="MingLiU_HKSCS" w:hAnsi="MingLiU_HKSCS"/>
          <w:color w:val="auto"/>
          <w:sz w:val="24"/>
          <w:highlight w:val="none"/>
          <w:u w:val="single"/>
        </w:rPr>
        <w:t xml:space="preserve"> 安徽新华集团投资有限公司 </w:t>
      </w:r>
      <w:r>
        <w:rPr>
          <w:rFonts w:hint="eastAsia" w:ascii="宋体" w:hAnsi="宋体"/>
          <w:color w:val="auto"/>
          <w:kern w:val="0"/>
          <w:sz w:val="24"/>
          <w:highlight w:val="none"/>
        </w:rPr>
        <w:t>；</w:t>
      </w:r>
    </w:p>
    <w:p w14:paraId="4AF0743D">
      <w:pPr>
        <w:spacing w:line="360" w:lineRule="auto"/>
        <w:ind w:firstLine="480" w:firstLineChars="200"/>
        <w:rPr>
          <w:rFonts w:hint="eastAsia" w:ascii="宋体" w:hAnsi="宋体"/>
          <w:color w:val="auto"/>
          <w:sz w:val="24"/>
          <w:highlight w:val="none"/>
          <w:u w:val="single"/>
        </w:rPr>
      </w:pPr>
      <w:r>
        <w:rPr>
          <w:rFonts w:hint="eastAsia" w:ascii="宋体" w:hAnsi="宋体"/>
          <w:color w:val="auto"/>
          <w:kern w:val="0"/>
          <w:sz w:val="24"/>
          <w:highlight w:val="none"/>
        </w:rPr>
        <w:t>委托人指定的接收人为：</w:t>
      </w:r>
      <w:r>
        <w:rPr>
          <w:rFonts w:hint="eastAsia" w:ascii="MingLiU_HKSCS" w:hAnsi="MingLiU_HKSCS"/>
          <w:color w:val="auto"/>
          <w:sz w:val="24"/>
          <w:highlight w:val="none"/>
          <w:u w:val="single"/>
        </w:rPr>
        <w:t xml:space="preserve">  </w:t>
      </w:r>
      <w:r>
        <w:rPr>
          <w:rFonts w:hint="eastAsia" w:ascii="MingLiU_HKSCS" w:hAnsi="MingLiU_HKSCS"/>
          <w:color w:val="auto"/>
          <w:sz w:val="24"/>
          <w:highlight w:val="none"/>
          <w:u w:val="single"/>
          <w:lang w:val="en-US" w:eastAsia="zh-CN"/>
        </w:rPr>
        <w:t xml:space="preserve">                </w:t>
      </w:r>
      <w:r>
        <w:rPr>
          <w:rFonts w:hint="eastAsia" w:ascii="宋体" w:hAnsi="宋体"/>
          <w:color w:val="auto"/>
          <w:sz w:val="24"/>
          <w:highlight w:val="none"/>
        </w:rPr>
        <w:t>；</w:t>
      </w:r>
    </w:p>
    <w:p w14:paraId="153A43A4">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委托人指定的电子邮箱：</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w:t>
      </w:r>
    </w:p>
    <w:p w14:paraId="3E822600">
      <w:pPr>
        <w:spacing w:beforeLines="0" w:afterLines="0" w:line="360" w:lineRule="auto"/>
        <w:ind w:firstLine="480" w:firstLineChars="200"/>
        <w:rPr>
          <w:rFonts w:hint="eastAsia" w:ascii="宋体" w:hAnsi="宋体"/>
          <w:kern w:val="0"/>
          <w:sz w:val="24"/>
        </w:rPr>
      </w:pPr>
      <w:r>
        <w:rPr>
          <w:rFonts w:hint="eastAsia" w:ascii="宋体" w:hAnsi="宋体"/>
          <w:kern w:val="0"/>
          <w:sz w:val="24"/>
        </w:rPr>
        <w:t>咨询人接收文件的地点：</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kern w:val="0"/>
          <w:sz w:val="24"/>
        </w:rPr>
        <w:t>；</w:t>
      </w:r>
    </w:p>
    <w:p w14:paraId="6804E280">
      <w:pPr>
        <w:spacing w:beforeLines="0" w:afterLines="0" w:line="360" w:lineRule="auto"/>
        <w:ind w:firstLine="480" w:firstLineChars="200"/>
        <w:rPr>
          <w:rFonts w:hint="eastAsia" w:ascii="宋体" w:hAnsi="宋体"/>
          <w:sz w:val="24"/>
          <w:u w:val="single"/>
        </w:rPr>
      </w:pPr>
      <w:r>
        <w:rPr>
          <w:rFonts w:hint="eastAsia" w:ascii="宋体" w:hAnsi="宋体"/>
          <w:kern w:val="0"/>
          <w:sz w:val="24"/>
        </w:rPr>
        <w:t>咨询人指定的接收人为：</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rPr>
        <w:t>；</w:t>
      </w:r>
    </w:p>
    <w:p w14:paraId="11CDCE63">
      <w:pPr>
        <w:spacing w:line="360" w:lineRule="auto"/>
        <w:ind w:firstLine="480" w:firstLineChars="200"/>
        <w:rPr>
          <w:rFonts w:hint="eastAsia" w:ascii="宋体" w:hAnsi="宋体"/>
          <w:color w:val="auto"/>
          <w:sz w:val="24"/>
          <w:highlight w:val="none"/>
        </w:rPr>
      </w:pPr>
      <w:r>
        <w:rPr>
          <w:rFonts w:hint="eastAsia" w:ascii="宋体" w:hAnsi="宋体"/>
          <w:kern w:val="0"/>
          <w:sz w:val="24"/>
        </w:rPr>
        <w:t>咨询</w:t>
      </w:r>
      <w:r>
        <w:rPr>
          <w:rFonts w:hint="eastAsia" w:ascii="宋体" w:hAnsi="宋体"/>
          <w:sz w:val="24"/>
        </w:rPr>
        <w:t>人</w:t>
      </w:r>
      <w:r>
        <w:rPr>
          <w:rFonts w:hint="eastAsia" w:ascii="宋体" w:hAnsi="宋体"/>
          <w:kern w:val="0"/>
          <w:sz w:val="24"/>
        </w:rPr>
        <w:t>指定的电子邮箱：</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color w:val="auto"/>
          <w:kern w:val="0"/>
          <w:sz w:val="24"/>
          <w:highlight w:val="none"/>
        </w:rPr>
        <w:t>。</w:t>
      </w:r>
    </w:p>
    <w:p w14:paraId="0849AB1F">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提供资料</w:t>
      </w:r>
    </w:p>
    <w:p w14:paraId="2240BFBF">
      <w:pPr>
        <w:spacing w:line="360" w:lineRule="auto"/>
        <w:ind w:firstLine="480" w:firstLineChars="200"/>
        <w:rPr>
          <w:rFonts w:ascii="宋体"/>
          <w:b/>
          <w:bCs/>
          <w:color w:val="auto"/>
          <w:sz w:val="24"/>
          <w:szCs w:val="24"/>
          <w:highlight w:val="none"/>
          <w:u w:val="single"/>
        </w:rPr>
      </w:pPr>
      <w:bookmarkStart w:id="114" w:name="_Toc407261946"/>
      <w:r>
        <w:rPr>
          <w:rFonts w:hint="eastAsia" w:ascii="宋体" w:hAnsi="宋体" w:cs="宋体"/>
          <w:color w:val="auto"/>
          <w:sz w:val="24"/>
          <w:szCs w:val="24"/>
          <w:highlight w:val="none"/>
        </w:rPr>
        <w:t>委托人向咨询人提供的资料包括：</w:t>
      </w:r>
      <w:r>
        <w:rPr>
          <w:rFonts w:hint="eastAsia" w:ascii="宋体" w:hAnsi="宋体" w:cs="宋体"/>
          <w:color w:val="auto"/>
          <w:sz w:val="24"/>
          <w:szCs w:val="24"/>
          <w:highlight w:val="none"/>
          <w:u w:val="single"/>
        </w:rPr>
        <w:t>招投标文件、中标通知书、施工合同、设计文件、竣工验收资料、开竣工报告、工程结算书及附件等资料</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隐蔽工程在施工方首次资料提供时一次性提供，不再接受后期补充资料</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p>
    <w:p w14:paraId="214B996C">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委托人向咨询人提供资料的期限为：</w:t>
      </w:r>
      <w:r>
        <w:rPr>
          <w:rFonts w:hint="eastAsia" w:ascii="宋体" w:hAnsi="宋体" w:cs="宋体"/>
          <w:color w:val="auto"/>
          <w:sz w:val="24"/>
          <w:szCs w:val="24"/>
          <w:highlight w:val="none"/>
          <w:lang w:val="en-US" w:eastAsia="zh-CN"/>
        </w:rPr>
        <w:t>至甲方向乙方下达业务委托函</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个工作日。</w:t>
      </w:r>
    </w:p>
    <w:p w14:paraId="26FD7B92">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2</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答复</w:t>
      </w:r>
    </w:p>
    <w:p w14:paraId="6552A519">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委托人对咨询人以书面形式提交并要求作出决定事宜的答复期限为：</w:t>
      </w:r>
      <w:r>
        <w:rPr>
          <w:rFonts w:ascii="MingLiU_HKSCS" w:hAnsi="MingLiU_HKSCS" w:cs="MingLiU_HKSCS"/>
          <w:color w:val="auto"/>
          <w:sz w:val="24"/>
          <w:szCs w:val="24"/>
          <w:highlight w:val="none"/>
          <w:u w:val="single"/>
        </w:rPr>
        <w:t xml:space="preserve">  </w:t>
      </w:r>
      <w:r>
        <w:rPr>
          <w:rFonts w:hint="eastAsia" w:ascii="MingLiU_HKSCS" w:hAnsi="MingLiU_HKSCS" w:cs="MingLiU_HKSCS"/>
          <w:color w:val="auto"/>
          <w:sz w:val="24"/>
          <w:szCs w:val="24"/>
          <w:highlight w:val="none"/>
          <w:u w:val="single"/>
          <w:lang w:val="en-US" w:eastAsia="zh-CN"/>
        </w:rPr>
        <w:t>原则上</w:t>
      </w:r>
      <w:r>
        <w:rPr>
          <w:rFonts w:hint="eastAsia" w:ascii="MingLiU_HKSCS" w:hAnsi="MingLiU_HKSCS" w:cs="MingLiU_HKSCS"/>
          <w:color w:val="auto"/>
          <w:sz w:val="24"/>
          <w:szCs w:val="24"/>
          <w:highlight w:val="none"/>
          <w:u w:val="single"/>
        </w:rPr>
        <w:t>自收到之日起</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个工作日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特殊情况除外</w:t>
      </w:r>
      <w:r>
        <w:rPr>
          <w:rFonts w:hint="eastAsia" w:ascii="宋体" w:hAnsi="宋体" w:cs="宋体"/>
          <w:color w:val="auto"/>
          <w:sz w:val="24"/>
          <w:szCs w:val="24"/>
          <w:highlight w:val="none"/>
          <w:u w:val="single"/>
          <w:lang w:eastAsia="zh-CN"/>
        </w:rPr>
        <w:t>）</w:t>
      </w:r>
      <w:r>
        <w:rPr>
          <w:rFonts w:ascii="MingLiU_HKSCS" w:hAnsi="MingLiU_HKSCS" w:cs="MingLiU_HKSCS"/>
          <w:color w:val="auto"/>
          <w:sz w:val="24"/>
          <w:szCs w:val="24"/>
          <w:highlight w:val="none"/>
          <w:u w:val="single"/>
        </w:rPr>
        <w:t xml:space="preserve">  </w:t>
      </w:r>
      <w:r>
        <w:rPr>
          <w:rFonts w:hint="eastAsia" w:ascii="宋体" w:hAnsi="宋体" w:cs="宋体"/>
          <w:color w:val="auto"/>
          <w:sz w:val="24"/>
          <w:szCs w:val="24"/>
          <w:highlight w:val="none"/>
        </w:rPr>
        <w:t>。</w:t>
      </w:r>
    </w:p>
    <w:p w14:paraId="4D5524AF">
      <w:pPr>
        <w:keepNext/>
        <w:keepLines/>
        <w:spacing w:line="360" w:lineRule="auto"/>
        <w:outlineLvl w:val="1"/>
        <w:rPr>
          <w:rFonts w:ascii="宋体"/>
          <w:b/>
          <w:bCs/>
          <w:color w:val="auto"/>
          <w:sz w:val="24"/>
          <w:szCs w:val="24"/>
          <w:highlight w:val="none"/>
        </w:rPr>
      </w:pPr>
      <w:r>
        <w:rPr>
          <w:rFonts w:ascii="宋体" w:hAnsi="宋体" w:cs="宋体"/>
          <w:b/>
          <w:bCs/>
          <w:color w:val="auto"/>
          <w:sz w:val="24"/>
          <w:szCs w:val="24"/>
          <w:highlight w:val="none"/>
        </w:rPr>
        <w:t xml:space="preserve">3. </w:t>
      </w:r>
      <w:r>
        <w:rPr>
          <w:rFonts w:hint="eastAsia" w:ascii="宋体" w:hAnsi="宋体" w:cs="宋体"/>
          <w:b/>
          <w:bCs/>
          <w:color w:val="auto"/>
          <w:sz w:val="24"/>
          <w:szCs w:val="24"/>
          <w:highlight w:val="none"/>
        </w:rPr>
        <w:t>咨询人</w:t>
      </w:r>
      <w:bookmarkEnd w:id="114"/>
    </w:p>
    <w:p w14:paraId="526B710F">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lang w:val="en-US" w:eastAsia="zh-CN"/>
        </w:rPr>
        <w:t>1</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项目负责人</w:t>
      </w:r>
    </w:p>
    <w:p w14:paraId="14560263">
      <w:pPr>
        <w:spacing w:beforeLines="0" w:afterLines="0" w:line="360" w:lineRule="auto"/>
        <w:ind w:firstLine="480" w:firstLineChars="200"/>
        <w:rPr>
          <w:rFonts w:hint="eastAsia" w:ascii="宋体" w:hAnsi="宋体"/>
          <w:sz w:val="24"/>
        </w:rPr>
      </w:pPr>
      <w:r>
        <w:rPr>
          <w:rFonts w:hint="eastAsia" w:ascii="宋体" w:hAnsi="宋体"/>
          <w:sz w:val="24"/>
        </w:rPr>
        <w:t>姓    名：</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rPr>
        <w:t>；</w:t>
      </w:r>
    </w:p>
    <w:p w14:paraId="194239EA">
      <w:pPr>
        <w:spacing w:beforeLines="0" w:afterLines="0" w:line="360" w:lineRule="auto"/>
        <w:ind w:firstLine="480" w:firstLineChars="200"/>
        <w:rPr>
          <w:rFonts w:hint="eastAsia" w:ascii="宋体" w:hAnsi="宋体"/>
          <w:sz w:val="24"/>
        </w:rPr>
      </w:pPr>
      <w:r>
        <w:rPr>
          <w:rFonts w:hint="eastAsia" w:ascii="宋体" w:hAnsi="宋体"/>
          <w:sz w:val="24"/>
        </w:rPr>
        <w:t>身份证号：</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rPr>
        <w:t>；</w:t>
      </w:r>
    </w:p>
    <w:p w14:paraId="21A91F18">
      <w:pPr>
        <w:spacing w:beforeLines="0" w:afterLines="0" w:line="360" w:lineRule="auto"/>
        <w:ind w:firstLine="480" w:firstLineChars="200"/>
        <w:rPr>
          <w:rFonts w:hint="eastAsia" w:ascii="宋体" w:hAnsi="宋体"/>
          <w:sz w:val="24"/>
        </w:rPr>
      </w:pPr>
      <w:r>
        <w:rPr>
          <w:rFonts w:hint="eastAsia" w:ascii="宋体" w:hAnsi="宋体"/>
          <w:sz w:val="24"/>
        </w:rPr>
        <w:t>造价工程师注册证书号：</w:t>
      </w:r>
      <w:r>
        <w:rPr>
          <w:rFonts w:hint="eastAsia" w:ascii="MingLiU_HKSCS" w:hAnsi="MingLiU_HKSCS"/>
          <w:sz w:val="24"/>
          <w:u w:val="single"/>
        </w:rPr>
        <w:t xml:space="preserve">  </w:t>
      </w:r>
      <w:r>
        <w:rPr>
          <w:rFonts w:hint="eastAsia" w:ascii="MingLiU_HKSCS" w:hAnsi="MingLiU_HKSCS"/>
          <w:color w:val="000000"/>
          <w:sz w:val="24"/>
          <w:u w:val="single"/>
        </w:rPr>
        <w:t xml:space="preserve"> </w:t>
      </w:r>
      <w:r>
        <w:rPr>
          <w:rFonts w:hint="eastAsia" w:ascii="MingLiU_HKSCS" w:hAnsi="MingLiU_HKSCS"/>
          <w:color w:val="000000"/>
          <w:sz w:val="24"/>
          <w:u w:val="single"/>
          <w:lang w:val="en-US" w:eastAsia="zh-CN"/>
        </w:rPr>
        <w:t xml:space="preserve">               </w:t>
      </w:r>
      <w:r>
        <w:rPr>
          <w:rFonts w:hint="eastAsia" w:ascii="MingLiU_HKSCS" w:hAnsi="MingLiU_HKSCS"/>
          <w:color w:val="000000"/>
          <w:sz w:val="24"/>
          <w:u w:val="single"/>
        </w:rPr>
        <w:t xml:space="preserve"> </w:t>
      </w:r>
      <w:r>
        <w:rPr>
          <w:rFonts w:hint="eastAsia" w:ascii="MingLiU_HKSCS" w:hAnsi="MingLiU_HKSCS"/>
          <w:sz w:val="24"/>
          <w:u w:val="single"/>
        </w:rPr>
        <w:t xml:space="preserve">  </w:t>
      </w:r>
      <w:r>
        <w:rPr>
          <w:rFonts w:hint="eastAsia" w:ascii="宋体" w:hAnsi="宋体"/>
          <w:sz w:val="24"/>
        </w:rPr>
        <w:t>；</w:t>
      </w:r>
    </w:p>
    <w:p w14:paraId="636DE61F">
      <w:pPr>
        <w:spacing w:beforeLines="0" w:afterLines="0" w:line="360" w:lineRule="auto"/>
        <w:ind w:firstLine="480" w:firstLineChars="200"/>
        <w:rPr>
          <w:rFonts w:hint="eastAsia" w:ascii="宋体" w:hAnsi="宋体"/>
          <w:sz w:val="24"/>
        </w:rPr>
      </w:pPr>
      <w:r>
        <w:rPr>
          <w:rFonts w:hint="eastAsia" w:ascii="宋体" w:hAnsi="宋体"/>
          <w:sz w:val="24"/>
        </w:rPr>
        <w:t>联系电话：</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rPr>
        <w:t>；</w:t>
      </w:r>
    </w:p>
    <w:p w14:paraId="583AF61D">
      <w:pPr>
        <w:spacing w:beforeLines="0" w:afterLines="0" w:line="360" w:lineRule="auto"/>
        <w:ind w:firstLine="480" w:firstLineChars="200"/>
        <w:rPr>
          <w:rFonts w:hint="eastAsia" w:ascii="宋体" w:hAnsi="宋体"/>
          <w:sz w:val="24"/>
        </w:rPr>
      </w:pPr>
      <w:r>
        <w:rPr>
          <w:rFonts w:hint="eastAsia" w:ascii="宋体" w:hAnsi="宋体"/>
          <w:sz w:val="24"/>
        </w:rPr>
        <w:t>电子信箱：</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rPr>
        <w:t>；</w:t>
      </w:r>
    </w:p>
    <w:p w14:paraId="3E208C12">
      <w:pPr>
        <w:spacing w:beforeLines="0" w:afterLines="0" w:line="360" w:lineRule="auto"/>
        <w:ind w:firstLine="480" w:firstLineChars="200"/>
        <w:rPr>
          <w:rFonts w:hint="eastAsia" w:ascii="宋体" w:hAnsi="宋体"/>
          <w:sz w:val="24"/>
        </w:rPr>
      </w:pPr>
      <w:r>
        <w:rPr>
          <w:rFonts w:hint="eastAsia" w:ascii="宋体" w:hAnsi="宋体"/>
          <w:sz w:val="24"/>
        </w:rPr>
        <w:t>通信地址：</w:t>
      </w:r>
      <w:r>
        <w:rPr>
          <w:rFonts w:hint="eastAsia" w:ascii="MingLiU_HKSCS" w:hAnsi="MingLiU_HKSCS"/>
          <w:sz w:val="24"/>
          <w:u w:val="single"/>
        </w:rPr>
        <w:t xml:space="preserve">  </w:t>
      </w:r>
      <w:r>
        <w:rPr>
          <w:rFonts w:hint="eastAsia" w:ascii="MingLiU_HKSCS" w:hAnsi="MingLiU_HKSCS"/>
          <w:sz w:val="24"/>
          <w:u w:val="single"/>
          <w:lang w:val="en-US" w:eastAsia="zh-CN"/>
        </w:rPr>
        <w:t xml:space="preserve">                </w:t>
      </w:r>
      <w:r>
        <w:rPr>
          <w:rFonts w:hint="eastAsia" w:ascii="MingLiU_HKSCS" w:hAnsi="MingLiU_HKSCS"/>
          <w:sz w:val="24"/>
          <w:u w:val="single"/>
        </w:rPr>
        <w:t xml:space="preserve">               </w:t>
      </w:r>
      <w:r>
        <w:rPr>
          <w:rFonts w:hint="eastAsia" w:ascii="宋体" w:hAnsi="宋体"/>
          <w:sz w:val="24"/>
        </w:rPr>
        <w:t>；</w:t>
      </w:r>
    </w:p>
    <w:p w14:paraId="448BE563">
      <w:pPr>
        <w:spacing w:line="360" w:lineRule="auto"/>
        <w:ind w:firstLine="480" w:firstLineChars="200"/>
        <w:rPr>
          <w:rFonts w:hint="eastAsia" w:ascii="宋体" w:hAnsi="宋体"/>
          <w:color w:val="auto"/>
          <w:sz w:val="24"/>
          <w:highlight w:val="none"/>
        </w:rPr>
      </w:pPr>
      <w:r>
        <w:rPr>
          <w:rFonts w:hint="eastAsia" w:ascii="宋体" w:hAnsi="宋体"/>
          <w:sz w:val="24"/>
        </w:rPr>
        <w:t>咨询人对项目负责人的授权范围如下：</w:t>
      </w:r>
      <w:r>
        <w:rPr>
          <w:rFonts w:hint="eastAsia" w:ascii="宋体" w:hAnsi="宋体"/>
          <w:sz w:val="24"/>
          <w:u w:val="single"/>
        </w:rPr>
        <w:t>负责本造价项目的实施</w:t>
      </w:r>
      <w:r>
        <w:rPr>
          <w:rFonts w:hint="eastAsia" w:ascii="宋体" w:hAnsi="宋体"/>
          <w:color w:val="auto"/>
          <w:sz w:val="24"/>
          <w:highlight w:val="none"/>
        </w:rPr>
        <w:t>。</w:t>
      </w:r>
    </w:p>
    <w:p w14:paraId="1738BEA5">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lang w:val="en-US" w:eastAsia="zh-CN"/>
        </w:rPr>
        <w:t>2</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工程造价专业人员</w:t>
      </w:r>
    </w:p>
    <w:p w14:paraId="4554E03D">
      <w:pPr>
        <w:spacing w:line="360" w:lineRule="auto"/>
        <w:ind w:firstLine="480" w:firstLineChars="200"/>
        <w:rPr>
          <w:rFonts w:ascii="宋体"/>
          <w:color w:val="auto"/>
          <w:sz w:val="24"/>
          <w:szCs w:val="24"/>
          <w:highlight w:val="none"/>
        </w:rPr>
      </w:pPr>
      <w:bookmarkStart w:id="115" w:name="_Toc407261947"/>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咨询人提交工程造价专业人员任命文件及其注册证书或资格证书的期限：</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本合同生效之日起</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个工作日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B2A4DA3">
      <w:pP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.2</w:t>
      </w:r>
      <w:r>
        <w:rPr>
          <w:rFonts w:hint="eastAsia" w:ascii="宋体" w:hAnsi="宋体" w:cs="宋体"/>
          <w:color w:val="auto"/>
          <w:sz w:val="24"/>
          <w:szCs w:val="24"/>
          <w:highlight w:val="none"/>
        </w:rPr>
        <w:t>咨询人擅自更换工程造价专业人员的违约责任：</w:t>
      </w:r>
      <w:r>
        <w:rPr>
          <w:rFonts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执行通用条款</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C64AE1">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.3 </w:t>
      </w:r>
      <w:r>
        <w:rPr>
          <w:rFonts w:hint="eastAsia" w:ascii="宋体" w:hAnsi="宋体" w:cs="宋体"/>
          <w:color w:val="auto"/>
          <w:sz w:val="24"/>
          <w:szCs w:val="24"/>
          <w:highlight w:val="none"/>
        </w:rPr>
        <w:t>咨询人安排的工程造价专业人员</w:t>
      </w:r>
      <w:r>
        <w:rPr>
          <w:rFonts w:hint="eastAsia" w:ascii="宋体" w:hAnsi="宋体" w:cs="宋体"/>
          <w:color w:val="auto"/>
          <w:kern w:val="0"/>
          <w:sz w:val="24"/>
          <w:szCs w:val="24"/>
          <w:highlight w:val="none"/>
        </w:rPr>
        <w:t>每月在施工现场的时间要求：</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执行通用条款 </w:t>
      </w:r>
      <w:r>
        <w:rPr>
          <w:rFonts w:hint="eastAsia" w:ascii="宋体" w:hAnsi="宋体" w:cs="宋体"/>
          <w:color w:val="auto"/>
          <w:sz w:val="24"/>
          <w:szCs w:val="24"/>
          <w:highlight w:val="none"/>
        </w:rPr>
        <w:t>。</w:t>
      </w:r>
    </w:p>
    <w:p w14:paraId="246939C9">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工程造价专业人员</w:t>
      </w:r>
      <w:r>
        <w:rPr>
          <w:rFonts w:hint="eastAsia" w:ascii="宋体" w:hAnsi="宋体" w:cs="宋体"/>
          <w:color w:val="auto"/>
          <w:kern w:val="0"/>
          <w:sz w:val="24"/>
          <w:szCs w:val="24"/>
          <w:highlight w:val="none"/>
        </w:rPr>
        <w:t>未经批准，擅自离开施工现场的违约责任：</w:t>
      </w:r>
      <w:r>
        <w:rPr>
          <w:rFonts w:hint="eastAsia" w:ascii="宋体" w:hAnsi="宋体" w:cs="宋体"/>
          <w:color w:val="auto"/>
          <w:sz w:val="24"/>
          <w:szCs w:val="24"/>
          <w:highlight w:val="none"/>
          <w:u w:val="single"/>
        </w:rPr>
        <w:t>执行通用条款</w:t>
      </w:r>
      <w:r>
        <w:rPr>
          <w:rFonts w:hint="eastAsia" w:ascii="宋体" w:hAnsi="宋体" w:cs="宋体"/>
          <w:color w:val="auto"/>
          <w:sz w:val="24"/>
          <w:szCs w:val="24"/>
          <w:highlight w:val="none"/>
        </w:rPr>
        <w:t>。</w:t>
      </w:r>
    </w:p>
    <w:p w14:paraId="5C52D27D">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.4 </w:t>
      </w:r>
      <w:r>
        <w:rPr>
          <w:rFonts w:hint="eastAsia" w:ascii="宋体" w:hAnsi="宋体" w:cs="宋体"/>
          <w:color w:val="auto"/>
          <w:sz w:val="24"/>
          <w:szCs w:val="24"/>
          <w:highlight w:val="none"/>
        </w:rPr>
        <w:t>咨询人无正当理由拒绝撤换工程造价专业人员的违约责任：</w:t>
      </w:r>
      <w:r>
        <w:rPr>
          <w:rFonts w:hint="eastAsia" w:ascii="宋体" w:hAnsi="宋体" w:cs="宋体"/>
          <w:color w:val="auto"/>
          <w:sz w:val="24"/>
          <w:szCs w:val="24"/>
          <w:highlight w:val="none"/>
          <w:u w:val="single"/>
        </w:rPr>
        <w:t xml:space="preserve">执行通用条款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1B0FDA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咨询人有《通用合同条款》中3.3项约定的违约情况，根据项目具体情况咨询人应承担违约金1000-5000元。</w:t>
      </w:r>
    </w:p>
    <w:p w14:paraId="58BBE1B8">
      <w:pPr>
        <w:keepNext/>
        <w:keepLines/>
        <w:spacing w:line="360" w:lineRule="auto"/>
        <w:outlineLvl w:val="1"/>
        <w:rPr>
          <w:rFonts w:ascii="宋体"/>
          <w:b/>
          <w:bCs/>
          <w:color w:val="auto"/>
          <w:sz w:val="24"/>
          <w:szCs w:val="24"/>
          <w:highlight w:val="none"/>
        </w:rPr>
      </w:pPr>
      <w:r>
        <w:rPr>
          <w:rFonts w:ascii="宋体" w:hAnsi="宋体" w:cs="宋体"/>
          <w:b/>
          <w:bCs/>
          <w:color w:val="auto"/>
          <w:sz w:val="24"/>
          <w:szCs w:val="24"/>
          <w:highlight w:val="none"/>
        </w:rPr>
        <w:t xml:space="preserve">4. </w:t>
      </w:r>
      <w:r>
        <w:rPr>
          <w:rFonts w:hint="eastAsia" w:ascii="宋体" w:hAnsi="宋体" w:cs="宋体"/>
          <w:b/>
          <w:bCs/>
          <w:color w:val="auto"/>
          <w:sz w:val="24"/>
          <w:szCs w:val="24"/>
          <w:highlight w:val="none"/>
        </w:rPr>
        <w:t>咨询业务范围和工作内容</w:t>
      </w:r>
      <w:bookmarkEnd w:id="115"/>
    </w:p>
    <w:p w14:paraId="020C2CFC">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rPr>
        <w:t>1咨询工作内容</w:t>
      </w:r>
    </w:p>
    <w:p w14:paraId="1A45F7FC">
      <w:pPr>
        <w:spacing w:line="360" w:lineRule="auto"/>
        <w:ind w:left="15" w:leftChars="7" w:firstLine="578" w:firstLineChars="241"/>
        <w:rPr>
          <w:rFonts w:ascii="宋体"/>
          <w:color w:val="auto"/>
          <w:sz w:val="24"/>
          <w:szCs w:val="24"/>
          <w:highlight w:val="none"/>
          <w:u w:val="single"/>
        </w:rPr>
      </w:pPr>
      <w:r>
        <w:rPr>
          <w:rFonts w:hint="eastAsia" w:ascii="宋体" w:hAnsi="宋体" w:cs="宋体"/>
          <w:color w:val="auto"/>
          <w:sz w:val="24"/>
          <w:szCs w:val="24"/>
          <w:highlight w:val="none"/>
        </w:rPr>
        <w:t>工程造价咨询工作内容包括：</w:t>
      </w:r>
      <w:r>
        <w:rPr>
          <w:rFonts w:hint="eastAsia" w:ascii="宋体" w:hAnsi="宋体" w:cs="宋体"/>
          <w:color w:val="auto"/>
          <w:sz w:val="24"/>
          <w:szCs w:val="24"/>
          <w:highlight w:val="none"/>
          <w:u w:val="single"/>
        </w:rPr>
        <w:t>工程结算审核以及委托人交办的其他事项。</w:t>
      </w:r>
    </w:p>
    <w:p w14:paraId="05F504CF">
      <w:pPr>
        <w:keepNext/>
        <w:keepLines/>
        <w:spacing w:line="360" w:lineRule="auto"/>
        <w:outlineLvl w:val="1"/>
        <w:rPr>
          <w:rFonts w:ascii="宋体"/>
          <w:b/>
          <w:bCs/>
          <w:color w:val="auto"/>
          <w:sz w:val="24"/>
          <w:szCs w:val="24"/>
          <w:highlight w:val="none"/>
        </w:rPr>
      </w:pPr>
      <w:bookmarkStart w:id="116" w:name="_Toc407261948"/>
      <w:r>
        <w:rPr>
          <w:rFonts w:ascii="宋体" w:hAnsi="宋体" w:cs="宋体"/>
          <w:b/>
          <w:bCs/>
          <w:color w:val="auto"/>
          <w:sz w:val="24"/>
          <w:szCs w:val="24"/>
          <w:highlight w:val="none"/>
        </w:rPr>
        <w:t xml:space="preserve">5. </w:t>
      </w:r>
      <w:r>
        <w:rPr>
          <w:rFonts w:hint="eastAsia" w:ascii="宋体" w:hAnsi="宋体" w:cs="宋体"/>
          <w:b/>
          <w:bCs/>
          <w:color w:val="auto"/>
          <w:sz w:val="24"/>
          <w:szCs w:val="24"/>
          <w:highlight w:val="none"/>
        </w:rPr>
        <w:t>咨询期限</w:t>
      </w:r>
      <w:bookmarkEnd w:id="116"/>
    </w:p>
    <w:p w14:paraId="1FE47B2F">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5.</w:t>
      </w:r>
      <w:r>
        <w:rPr>
          <w:rFonts w:hint="eastAsia" w:ascii="宋体" w:hAnsi="宋体" w:cs="宋体"/>
          <w:b/>
          <w:bCs/>
          <w:color w:val="auto"/>
          <w:sz w:val="24"/>
          <w:szCs w:val="24"/>
          <w:highlight w:val="none"/>
        </w:rPr>
        <w:t>1咨询期限延误</w:t>
      </w:r>
    </w:p>
    <w:p w14:paraId="5CBD0DF5">
      <w:pPr>
        <w:spacing w:line="360" w:lineRule="auto"/>
        <w:ind w:firstLine="480" w:firstLineChars="200"/>
        <w:rPr>
          <w:rFonts w:ascii="宋体"/>
          <w:color w:val="auto"/>
          <w:sz w:val="24"/>
          <w:szCs w:val="24"/>
          <w:highlight w:val="none"/>
        </w:rPr>
      </w:pPr>
      <w:bookmarkStart w:id="117" w:name="_Toc297216177"/>
      <w:bookmarkStart w:id="118" w:name="_Toc297123518"/>
      <w:bookmarkStart w:id="119" w:name="_Toc300934970"/>
      <w:bookmarkStart w:id="120" w:name="_Toc303539127"/>
      <w:bookmarkStart w:id="121" w:name="_Toc304295548"/>
      <w:r>
        <w:rPr>
          <w:rFonts w:ascii="宋体" w:hAnsi="宋体" w:cs="宋体"/>
          <w:color w:val="auto"/>
          <w:sz w:val="24"/>
          <w:szCs w:val="24"/>
          <w:highlight w:val="none"/>
        </w:rPr>
        <w:t>5.</w:t>
      </w: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因咨询人原因导致咨询期限延误</w:t>
      </w:r>
    </w:p>
    <w:p w14:paraId="63908E59">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因</w:t>
      </w:r>
      <w:bookmarkStart w:id="122" w:name="_Toc312678013"/>
      <w:bookmarkStart w:id="123" w:name="_Toc312677487"/>
      <w:bookmarkStart w:id="124" w:name="_Toc318581170"/>
      <w:r>
        <w:rPr>
          <w:rFonts w:hint="eastAsia" w:ascii="宋体" w:hAnsi="宋体" w:cs="宋体"/>
          <w:color w:val="auto"/>
          <w:sz w:val="24"/>
          <w:szCs w:val="24"/>
          <w:highlight w:val="none"/>
        </w:rPr>
        <w:t>咨询人原因造成咨询期限延误，逾期完成咨询业务违约金的计算方法为：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另行协商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bookmarkEnd w:id="117"/>
      <w:bookmarkEnd w:id="118"/>
      <w:bookmarkEnd w:id="119"/>
      <w:bookmarkEnd w:id="120"/>
      <w:bookmarkEnd w:id="121"/>
      <w:bookmarkEnd w:id="122"/>
      <w:bookmarkEnd w:id="123"/>
    </w:p>
    <w:bookmarkEnd w:id="124"/>
    <w:p w14:paraId="67756405">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因咨询人原因造成咨询期限延误，</w:t>
      </w:r>
      <w:bookmarkStart w:id="125" w:name="_Toc312678014"/>
      <w:bookmarkStart w:id="126" w:name="_Toc318581171"/>
      <w:r>
        <w:rPr>
          <w:rFonts w:hint="eastAsia" w:ascii="宋体" w:hAnsi="宋体" w:cs="宋体"/>
          <w:color w:val="auto"/>
          <w:sz w:val="24"/>
          <w:szCs w:val="24"/>
          <w:highlight w:val="none"/>
        </w:rPr>
        <w:t>逾期完成咨询业务违约金的上限：</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酬金总额</w:t>
      </w:r>
      <w:r>
        <w:rPr>
          <w:rFonts w:hint="eastAsia" w:ascii="宋体" w:hAnsi="宋体" w:cs="宋体"/>
          <w:color w:val="auto"/>
          <w:sz w:val="24"/>
          <w:szCs w:val="24"/>
          <w:highlight w:val="none"/>
          <w:u w:val="single"/>
        </w:rPr>
        <w:t>。</w:t>
      </w:r>
    </w:p>
    <w:bookmarkEnd w:id="125"/>
    <w:bookmarkEnd w:id="126"/>
    <w:p w14:paraId="54A8C87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因第三人原因导致咨询期限延误</w:t>
      </w:r>
    </w:p>
    <w:p w14:paraId="74A4FDA7">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因第三人原因导致咨询期限延误的其他情形：</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u w:val="single"/>
        </w:rPr>
        <w:t>。</w:t>
      </w:r>
    </w:p>
    <w:p w14:paraId="3B64B387">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5.</w:t>
      </w:r>
      <w:r>
        <w:rPr>
          <w:rFonts w:hint="eastAsia" w:ascii="宋体" w:hAnsi="宋体" w:cs="宋体"/>
          <w:b/>
          <w:bCs/>
          <w:color w:val="auto"/>
          <w:sz w:val="24"/>
          <w:szCs w:val="24"/>
          <w:highlight w:val="none"/>
        </w:rPr>
        <w:t>2</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工程造价咨询成果文件交付期限</w:t>
      </w:r>
    </w:p>
    <w:p w14:paraId="325E371C">
      <w:pPr>
        <w:spacing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咨询人向委托人提交工程造价咨询成果文件的份数</w:t>
      </w:r>
      <w:r>
        <w:rPr>
          <w:rFonts w:ascii="宋体" w:hAnsi="宋体" w:cs="宋体"/>
          <w:color w:val="auto"/>
          <w:sz w:val="24"/>
          <w:szCs w:val="24"/>
          <w:highlight w:val="none"/>
          <w:u w:val="single"/>
        </w:rPr>
        <w:t xml:space="preserve">  6</w:t>
      </w:r>
      <w:r>
        <w:rPr>
          <w:rFonts w:hint="eastAsia" w:ascii="宋体" w:hAnsi="宋体" w:cs="宋体"/>
          <w:color w:val="auto"/>
          <w:sz w:val="24"/>
          <w:szCs w:val="24"/>
          <w:highlight w:val="none"/>
          <w:u w:val="single"/>
        </w:rPr>
        <w:t>份</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51B525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委托人在收到咨询人提交的工程造价咨询成果文件后确认或提出修改意见的期限：</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执行通用条款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FBF6D15">
      <w:pPr>
        <w:spacing w:line="360" w:lineRule="auto"/>
        <w:ind w:firstLine="480" w:firstLineChars="200"/>
        <w:rPr>
          <w:rFonts w:ascii="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因咨询人原因未能在合理的期限内完成工程计量与支付、合同价款调整等文件编制或审核，给委托人造成损失</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咨询人应赔偿委托人因此所遭受的损失并承担违约责任</w:t>
      </w:r>
      <w:r>
        <w:rPr>
          <w:rFonts w:hint="eastAsia" w:ascii="宋体" w:hAnsi="宋体" w:cs="宋体"/>
          <w:color w:val="auto"/>
          <w:sz w:val="24"/>
          <w:szCs w:val="24"/>
          <w:highlight w:val="none"/>
          <w:u w:val="single"/>
        </w:rPr>
        <w:t>。</w:t>
      </w:r>
    </w:p>
    <w:p w14:paraId="1A4A678D">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 xml:space="preserve">6.1 </w:t>
      </w:r>
      <w:r>
        <w:rPr>
          <w:rFonts w:hint="eastAsia" w:ascii="宋体" w:hAnsi="宋体" w:cs="宋体"/>
          <w:b/>
          <w:bCs/>
          <w:color w:val="auto"/>
          <w:sz w:val="24"/>
          <w:szCs w:val="24"/>
          <w:highlight w:val="none"/>
        </w:rPr>
        <w:t>质量要求</w:t>
      </w:r>
    </w:p>
    <w:p w14:paraId="48F9B161">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工程造价咨询成果文件质量标准：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符合中价协</w:t>
      </w:r>
      <w:r>
        <w:rPr>
          <w:rFonts w:ascii="宋体" w:hAnsi="宋体" w:cs="宋体"/>
          <w:color w:val="auto"/>
          <w:sz w:val="24"/>
          <w:szCs w:val="24"/>
          <w:highlight w:val="none"/>
          <w:u w:val="single"/>
        </w:rPr>
        <w:t>[2012]011</w:t>
      </w:r>
      <w:r>
        <w:rPr>
          <w:rFonts w:hint="eastAsia" w:ascii="宋体" w:hAnsi="宋体" w:cs="宋体"/>
          <w:color w:val="auto"/>
          <w:sz w:val="24"/>
          <w:szCs w:val="24"/>
          <w:highlight w:val="none"/>
          <w:u w:val="single"/>
        </w:rPr>
        <w:t>号《建设工程造价咨询成果文件质量标准》</w:t>
      </w:r>
      <w:r>
        <w:rPr>
          <w:rFonts w:hint="eastAsia" w:ascii="宋体" w:hAnsi="宋体" w:cs="宋体"/>
          <w:color w:val="auto"/>
          <w:sz w:val="24"/>
          <w:szCs w:val="24"/>
          <w:highlight w:val="none"/>
          <w:u w:val="single"/>
          <w:lang w:val="en-US" w:eastAsia="zh-CN"/>
        </w:rPr>
        <w:t>以及甲方要求（结算定案表和审计报告等）</w:t>
      </w:r>
      <w:r>
        <w:rPr>
          <w:rFonts w:hint="eastAsia" w:ascii="宋体" w:hAnsi="宋体" w:cs="宋体"/>
          <w:color w:val="auto"/>
          <w:sz w:val="24"/>
          <w:szCs w:val="24"/>
          <w:highlight w:val="none"/>
          <w:u w:val="single"/>
        </w:rPr>
        <w:t>。</w:t>
      </w:r>
    </w:p>
    <w:p w14:paraId="6C30796D">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6.</w:t>
      </w:r>
      <w:r>
        <w:rPr>
          <w:rFonts w:hint="eastAsia" w:ascii="宋体" w:hAnsi="宋体" w:cs="宋体"/>
          <w:b/>
          <w:bCs/>
          <w:color w:val="auto"/>
          <w:sz w:val="24"/>
          <w:szCs w:val="24"/>
          <w:highlight w:val="none"/>
          <w:lang w:val="en-US" w:eastAsia="zh-CN"/>
        </w:rPr>
        <w:t>2</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质量不合格处理</w:t>
      </w:r>
    </w:p>
    <w:p w14:paraId="6DDA4AD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因咨询人原因造成工程造价咨询成果文件质量未达到合同约定标准，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委托人有权解除合同，咨询人承担委托人因此所遭受的损失并承违约责任。</w:t>
      </w:r>
    </w:p>
    <w:p w14:paraId="243F014B">
      <w:pPr>
        <w:keepNext/>
        <w:keepLines/>
        <w:spacing w:line="360" w:lineRule="auto"/>
        <w:ind w:firstLine="482" w:firstLineChars="200"/>
        <w:outlineLvl w:val="1"/>
        <w:rPr>
          <w:rFonts w:ascii="宋体"/>
          <w:b/>
          <w:bCs/>
          <w:color w:val="auto"/>
          <w:sz w:val="24"/>
          <w:szCs w:val="24"/>
          <w:highlight w:val="none"/>
        </w:rPr>
      </w:pPr>
      <w:bookmarkStart w:id="127" w:name="_Toc407261950"/>
      <w:r>
        <w:rPr>
          <w:rFonts w:ascii="宋体" w:hAnsi="宋体" w:cs="宋体"/>
          <w:b/>
          <w:bCs/>
          <w:color w:val="auto"/>
          <w:sz w:val="24"/>
          <w:szCs w:val="24"/>
          <w:highlight w:val="none"/>
        </w:rPr>
        <w:t xml:space="preserve">7. </w:t>
      </w:r>
      <w:r>
        <w:rPr>
          <w:rFonts w:hint="eastAsia" w:ascii="宋体" w:hAnsi="宋体" w:cs="宋体"/>
          <w:b/>
          <w:bCs/>
          <w:color w:val="auto"/>
          <w:sz w:val="24"/>
          <w:szCs w:val="24"/>
          <w:highlight w:val="none"/>
        </w:rPr>
        <w:t>咨询酬金</w:t>
      </w:r>
      <w:bookmarkEnd w:id="127"/>
    </w:p>
    <w:p w14:paraId="5725E245">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咨询酬金计算方式：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见附表1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C825D29">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8</w:t>
      </w:r>
      <w:r>
        <w:rPr>
          <w:rFonts w:hint="eastAsia" w:ascii="宋体" w:hAnsi="宋体" w:cs="宋体"/>
          <w:b/>
          <w:bCs/>
          <w:color w:val="auto"/>
          <w:sz w:val="24"/>
          <w:szCs w:val="24"/>
          <w:highlight w:val="none"/>
        </w:rPr>
        <w:t>变更引起的咨询酬金和期限调整</w:t>
      </w:r>
    </w:p>
    <w:p w14:paraId="65C22AAD">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变更引起咨询期限调整的计算方法</w:t>
      </w:r>
      <w:r>
        <w:rPr>
          <w:rFonts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参照本合同协议书中约定的酬金标准。</w:t>
      </w:r>
    </w:p>
    <w:p w14:paraId="48050A56">
      <w:pPr>
        <w:keepNext w:val="0"/>
        <w:keepLines w:val="0"/>
        <w:spacing w:line="360" w:lineRule="auto"/>
        <w:ind w:firstLine="482" w:firstLineChars="200"/>
        <w:outlineLvl w:val="9"/>
        <w:rPr>
          <w:rFonts w:ascii="宋体"/>
          <w:b/>
          <w:bCs/>
          <w:color w:val="auto"/>
          <w:sz w:val="24"/>
          <w:szCs w:val="24"/>
          <w:highlight w:val="none"/>
        </w:rPr>
      </w:pPr>
      <w:bookmarkStart w:id="128" w:name="_Toc407261952"/>
      <w:r>
        <w:rPr>
          <w:rFonts w:ascii="宋体" w:hAnsi="宋体" w:cs="宋体"/>
          <w:b/>
          <w:bCs/>
          <w:color w:val="auto"/>
          <w:sz w:val="24"/>
          <w:szCs w:val="24"/>
          <w:highlight w:val="none"/>
        </w:rPr>
        <w:t xml:space="preserve">9. </w:t>
      </w:r>
      <w:r>
        <w:rPr>
          <w:rFonts w:hint="eastAsia" w:ascii="宋体" w:hAnsi="宋体" w:cs="宋体"/>
          <w:b/>
          <w:bCs/>
          <w:color w:val="auto"/>
          <w:sz w:val="24"/>
          <w:szCs w:val="24"/>
          <w:highlight w:val="none"/>
        </w:rPr>
        <w:t>违约</w:t>
      </w:r>
      <w:bookmarkEnd w:id="128"/>
    </w:p>
    <w:p w14:paraId="6E817413">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 xml:space="preserve">9.1 </w:t>
      </w:r>
      <w:r>
        <w:rPr>
          <w:rFonts w:hint="eastAsia" w:ascii="宋体" w:hAnsi="宋体" w:cs="宋体"/>
          <w:b/>
          <w:bCs/>
          <w:color w:val="auto"/>
          <w:sz w:val="24"/>
          <w:szCs w:val="24"/>
          <w:highlight w:val="none"/>
        </w:rPr>
        <w:t>委托人违约</w:t>
      </w:r>
    </w:p>
    <w:p w14:paraId="07B1D2FE">
      <w:pPr>
        <w:spacing w:before="120" w:after="120" w:line="360" w:lineRule="auto"/>
        <w:ind w:firstLine="480" w:firstLineChars="200"/>
        <w:rPr>
          <w:rFonts w:ascii="宋体"/>
          <w:color w:val="auto"/>
          <w:kern w:val="0"/>
          <w:sz w:val="24"/>
          <w:szCs w:val="24"/>
          <w:highlight w:val="none"/>
        </w:rPr>
      </w:pPr>
      <w:r>
        <w:rPr>
          <w:rFonts w:hint="eastAsia" w:ascii="宋体" w:hAnsi="宋体" w:cs="宋体"/>
          <w:color w:val="auto"/>
          <w:kern w:val="0"/>
          <w:sz w:val="24"/>
          <w:szCs w:val="24"/>
          <w:highlight w:val="none"/>
        </w:rPr>
        <w:t>关于委托人违约解除合同的特别约定：</w:t>
      </w:r>
      <w:r>
        <w:rPr>
          <w:rFonts w:ascii="宋体" w:hAnsi="宋体" w:cs="宋体"/>
          <w:color w:val="auto"/>
          <w:kern w:val="0"/>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p>
    <w:p w14:paraId="642F52DE">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因委托人违约解除合同的，关于已完咨询业务酬金结算和付款的约定：</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14:paraId="55FB1B32">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 xml:space="preserve">9.2 </w:t>
      </w:r>
      <w:r>
        <w:rPr>
          <w:rFonts w:hint="eastAsia" w:ascii="宋体" w:hAnsi="宋体" w:cs="宋体"/>
          <w:b/>
          <w:bCs/>
          <w:color w:val="auto"/>
          <w:sz w:val="24"/>
          <w:szCs w:val="24"/>
          <w:highlight w:val="none"/>
        </w:rPr>
        <w:t>咨询人违约</w:t>
      </w:r>
    </w:p>
    <w:p w14:paraId="109304A3">
      <w:pPr>
        <w:spacing w:before="120" w:after="120" w:line="360" w:lineRule="auto"/>
        <w:ind w:firstLine="480" w:firstLineChars="200"/>
        <w:rPr>
          <w:rFonts w:ascii="宋体"/>
          <w:color w:val="auto"/>
          <w:kern w:val="0"/>
          <w:sz w:val="24"/>
          <w:szCs w:val="24"/>
          <w:highlight w:val="none"/>
        </w:rPr>
      </w:pPr>
      <w:r>
        <w:rPr>
          <w:rFonts w:hint="eastAsia" w:ascii="宋体" w:hAnsi="宋体" w:cs="宋体"/>
          <w:color w:val="auto"/>
          <w:kern w:val="0"/>
          <w:sz w:val="24"/>
          <w:szCs w:val="24"/>
          <w:highlight w:val="none"/>
        </w:rPr>
        <w:t>关于咨询人违约解除合同的特别约定：</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见《专用合同》条款5、6条</w:t>
      </w:r>
      <w:r>
        <w:rPr>
          <w:rFonts w:hint="eastAsia" w:ascii="宋体" w:hAnsi="宋体" w:cs="宋体"/>
          <w:color w:val="auto"/>
          <w:sz w:val="24"/>
          <w:szCs w:val="24"/>
          <w:highlight w:val="none"/>
          <w:u w:val="single"/>
        </w:rPr>
        <w:t>。</w:t>
      </w:r>
    </w:p>
    <w:p w14:paraId="56AA9F94">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因咨询人违约解除合同的，关于已完咨询业务酬金结算和付款的约定：</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14:paraId="0CFFAD0C">
      <w:pPr>
        <w:keepNext/>
        <w:keepLines/>
        <w:spacing w:line="360" w:lineRule="auto"/>
        <w:ind w:firstLine="482" w:firstLineChars="200"/>
        <w:outlineLvl w:val="1"/>
        <w:rPr>
          <w:rFonts w:ascii="宋体"/>
          <w:b/>
          <w:bCs/>
          <w:color w:val="auto"/>
          <w:sz w:val="24"/>
          <w:szCs w:val="24"/>
          <w:highlight w:val="none"/>
        </w:rPr>
      </w:pPr>
      <w:bookmarkStart w:id="129" w:name="_Toc407261953"/>
      <w:r>
        <w:rPr>
          <w:rFonts w:ascii="宋体" w:hAnsi="宋体" w:cs="宋体"/>
          <w:b/>
          <w:bCs/>
          <w:color w:val="auto"/>
          <w:sz w:val="24"/>
          <w:szCs w:val="24"/>
          <w:highlight w:val="none"/>
        </w:rPr>
        <w:t xml:space="preserve">10. </w:t>
      </w:r>
      <w:r>
        <w:rPr>
          <w:rFonts w:hint="eastAsia" w:ascii="宋体" w:hAnsi="宋体" w:cs="宋体"/>
          <w:b/>
          <w:bCs/>
          <w:color w:val="auto"/>
          <w:sz w:val="24"/>
          <w:szCs w:val="24"/>
          <w:highlight w:val="none"/>
        </w:rPr>
        <w:t>争议解决</w:t>
      </w:r>
      <w:bookmarkEnd w:id="129"/>
    </w:p>
    <w:p w14:paraId="2935EE85">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10.</w:t>
      </w:r>
      <w:r>
        <w:rPr>
          <w:rFonts w:hint="eastAsia" w:ascii="宋体" w:hAnsi="宋体" w:cs="宋体"/>
          <w:b/>
          <w:bCs/>
          <w:color w:val="auto"/>
          <w:sz w:val="24"/>
          <w:szCs w:val="24"/>
          <w:highlight w:val="none"/>
          <w:lang w:eastAsia="zh-CN"/>
        </w:rPr>
        <w:t>1</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仲裁或诉讼</w:t>
      </w:r>
    </w:p>
    <w:p w14:paraId="071C563D">
      <w:pPr>
        <w:spacing w:after="12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因合同及合同有关事项发生的争议，按下列第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2</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种方式解决：</w:t>
      </w:r>
    </w:p>
    <w:p w14:paraId="62A2D138">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向</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仲裁委员会申请仲裁；</w:t>
      </w:r>
    </w:p>
    <w:p w14:paraId="30D00352">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向</w:t>
      </w:r>
      <w:r>
        <w:rPr>
          <w:rFonts w:hint="eastAsia" w:ascii="宋体" w:hAnsi="宋体" w:cs="宋体"/>
          <w:color w:val="auto"/>
          <w:sz w:val="24"/>
          <w:szCs w:val="24"/>
          <w:highlight w:val="none"/>
          <w:u w:val="single"/>
        </w:rPr>
        <w:t>委托人所在地</w:t>
      </w:r>
      <w:r>
        <w:rPr>
          <w:rFonts w:hint="eastAsia" w:ascii="宋体" w:hAnsi="宋体" w:cs="宋体"/>
          <w:color w:val="auto"/>
          <w:sz w:val="24"/>
          <w:szCs w:val="24"/>
          <w:highlight w:val="none"/>
        </w:rPr>
        <w:t>人民法院起诉。</w:t>
      </w:r>
    </w:p>
    <w:p w14:paraId="63F1A3DF">
      <w:pPr>
        <w:keepNext/>
        <w:keepLines/>
        <w:spacing w:line="360" w:lineRule="auto"/>
        <w:ind w:firstLine="482" w:firstLineChars="200"/>
        <w:outlineLvl w:val="1"/>
        <w:rPr>
          <w:rFonts w:ascii="宋体"/>
          <w:b/>
          <w:bCs/>
          <w:color w:val="auto"/>
          <w:sz w:val="24"/>
          <w:szCs w:val="24"/>
          <w:highlight w:val="none"/>
        </w:rPr>
      </w:pPr>
      <w:bookmarkStart w:id="130" w:name="_Toc407261954"/>
      <w:r>
        <w:rPr>
          <w:rFonts w:ascii="宋体" w:hAnsi="宋体" w:cs="宋体"/>
          <w:b/>
          <w:bCs/>
          <w:color w:val="auto"/>
          <w:sz w:val="24"/>
          <w:szCs w:val="24"/>
          <w:highlight w:val="none"/>
        </w:rPr>
        <w:t xml:space="preserve">11. </w:t>
      </w:r>
      <w:r>
        <w:rPr>
          <w:rFonts w:hint="eastAsia" w:ascii="宋体" w:hAnsi="宋体" w:cs="宋体"/>
          <w:b/>
          <w:bCs/>
          <w:color w:val="auto"/>
          <w:sz w:val="24"/>
          <w:szCs w:val="24"/>
          <w:highlight w:val="none"/>
        </w:rPr>
        <w:t>补充条款</w:t>
      </w:r>
      <w:bookmarkEnd w:id="130"/>
    </w:p>
    <w:p w14:paraId="76EE6CA5">
      <w:pPr>
        <w:ind w:firstLine="480" w:firstLineChars="200"/>
        <w:rPr>
          <w:color w:val="auto"/>
          <w:highlight w:val="none"/>
        </w:rPr>
      </w:pPr>
      <w:r>
        <w:rPr>
          <w:rFonts w:hint="eastAsia" w:ascii="宋体" w:hAnsi="宋体" w:cs="宋体"/>
          <w:color w:val="auto"/>
          <w:sz w:val="24"/>
          <w:szCs w:val="24"/>
          <w:highlight w:val="none"/>
          <w:u w:val="none"/>
          <w:lang w:val="en-US" w:eastAsia="zh-CN"/>
        </w:rPr>
        <w:t>对于</w:t>
      </w:r>
      <w:r>
        <w:rPr>
          <w:rFonts w:hint="eastAsia" w:ascii="宋体" w:hAnsi="宋体" w:cs="宋体"/>
          <w:color w:val="auto"/>
          <w:sz w:val="24"/>
          <w:szCs w:val="24"/>
          <w:highlight w:val="none"/>
          <w:u w:val="none"/>
        </w:rPr>
        <w:t>委托人</w:t>
      </w:r>
      <w:r>
        <w:rPr>
          <w:rFonts w:hint="eastAsia" w:ascii="宋体" w:hAnsi="宋体" w:cs="宋体"/>
          <w:color w:val="auto"/>
          <w:sz w:val="24"/>
          <w:szCs w:val="24"/>
          <w:highlight w:val="none"/>
          <w:u w:val="none"/>
          <w:lang w:val="en-US" w:eastAsia="zh-CN"/>
        </w:rPr>
        <w:t>委托项目，只审减不审增</w:t>
      </w:r>
      <w:r>
        <w:rPr>
          <w:rFonts w:hint="eastAsia" w:ascii="宋体" w:hAnsi="宋体" w:cs="宋体"/>
          <w:color w:val="auto"/>
          <w:sz w:val="24"/>
          <w:szCs w:val="24"/>
          <w:highlight w:val="none"/>
          <w:u w:val="none"/>
        </w:rPr>
        <w:t>。</w:t>
      </w:r>
    </w:p>
    <w:p w14:paraId="308162CB">
      <w:pPr>
        <w:ind w:right="275" w:rightChars="131"/>
        <w:rPr>
          <w:rFonts w:ascii="宋体" w:hAnsi="宋体"/>
          <w:b/>
          <w:sz w:val="24"/>
        </w:rPr>
      </w:pPr>
    </w:p>
    <w:p w14:paraId="5D272AEA">
      <w:pPr>
        <w:spacing w:line="540" w:lineRule="exact"/>
        <w:ind w:right="275" w:rightChars="131"/>
        <w:rPr>
          <w:rFonts w:hint="eastAsia" w:ascii="宋体" w:hAnsi="宋体" w:cs="仿宋_GB2312"/>
          <w:b/>
          <w:bCs/>
          <w:kern w:val="0"/>
          <w:sz w:val="28"/>
          <w:szCs w:val="28"/>
          <w:shd w:val="clear" w:color="auto" w:fill="FFFFFF"/>
        </w:rPr>
      </w:pPr>
    </w:p>
    <w:p w14:paraId="1F8F378D">
      <w:pPr>
        <w:spacing w:line="540" w:lineRule="exact"/>
        <w:ind w:right="275" w:rightChars="131"/>
        <w:rPr>
          <w:rFonts w:hint="eastAsia" w:ascii="宋体" w:hAnsi="宋体" w:cs="仿宋_GB2312"/>
          <w:b/>
          <w:bCs/>
          <w:kern w:val="0"/>
          <w:sz w:val="28"/>
          <w:szCs w:val="28"/>
          <w:shd w:val="clear" w:color="auto" w:fill="FFFFFF"/>
        </w:rPr>
      </w:pPr>
    </w:p>
    <w:p w14:paraId="2ECF9F94">
      <w:pPr>
        <w:spacing w:line="540" w:lineRule="exact"/>
        <w:ind w:right="275" w:rightChars="131"/>
        <w:rPr>
          <w:rFonts w:hint="eastAsia" w:ascii="宋体" w:hAnsi="宋体" w:cs="仿宋_GB2312"/>
          <w:b/>
          <w:bCs/>
          <w:kern w:val="0"/>
          <w:sz w:val="28"/>
          <w:szCs w:val="28"/>
          <w:shd w:val="clear" w:color="auto" w:fill="FFFFFF"/>
        </w:rPr>
      </w:pPr>
    </w:p>
    <w:p w14:paraId="511B7B1A">
      <w:pPr>
        <w:spacing w:line="540" w:lineRule="exact"/>
        <w:ind w:right="275" w:rightChars="131"/>
        <w:rPr>
          <w:rFonts w:hint="eastAsia" w:ascii="宋体" w:hAnsi="宋体" w:cs="仿宋_GB2312"/>
          <w:b/>
          <w:bCs/>
          <w:kern w:val="0"/>
          <w:sz w:val="28"/>
          <w:szCs w:val="28"/>
          <w:shd w:val="clear" w:color="auto" w:fill="FFFFFF"/>
        </w:rPr>
      </w:pPr>
    </w:p>
    <w:p w14:paraId="60BECF9B">
      <w:pPr>
        <w:spacing w:line="540" w:lineRule="exact"/>
        <w:ind w:right="275" w:rightChars="131"/>
        <w:rPr>
          <w:rFonts w:hint="eastAsia" w:ascii="宋体" w:hAnsi="宋体" w:cs="仿宋_GB2312"/>
          <w:b/>
          <w:bCs/>
          <w:kern w:val="0"/>
          <w:sz w:val="28"/>
          <w:szCs w:val="28"/>
          <w:shd w:val="clear" w:color="auto" w:fill="FFFFFF"/>
        </w:rPr>
      </w:pPr>
      <w:r>
        <w:rPr>
          <w:rFonts w:hint="eastAsia" w:ascii="宋体" w:hAnsi="宋体" w:cs="仿宋_GB2312"/>
          <w:b/>
          <w:bCs/>
          <w:kern w:val="0"/>
          <w:sz w:val="28"/>
          <w:szCs w:val="28"/>
          <w:shd w:val="clear" w:color="auto" w:fill="FFFFFF"/>
        </w:rPr>
        <w:t>附件三</w:t>
      </w:r>
    </w:p>
    <w:p w14:paraId="4C926657">
      <w:pPr>
        <w:spacing w:line="540" w:lineRule="exact"/>
        <w:ind w:right="275" w:rightChars="131"/>
        <w:jc w:val="center"/>
        <w:rPr>
          <w:rFonts w:hint="eastAsia" w:ascii="宋体" w:hAnsi="宋体" w:eastAsia="宋体" w:cs="宋体"/>
          <w:b/>
          <w:bCs/>
          <w:kern w:val="0"/>
          <w:sz w:val="28"/>
          <w:szCs w:val="28"/>
          <w:shd w:val="clear" w:color="auto" w:fill="FFFFFF"/>
        </w:rPr>
      </w:pPr>
      <w:r>
        <w:rPr>
          <w:rFonts w:hint="eastAsia" w:ascii="宋体" w:hAnsi="宋体" w:eastAsia="宋体" w:cs="宋体"/>
          <w:b/>
          <w:bCs/>
          <w:kern w:val="0"/>
          <w:sz w:val="28"/>
          <w:szCs w:val="28"/>
          <w:shd w:val="clear" w:color="auto" w:fill="FFFFFF"/>
        </w:rPr>
        <w:t>廉</w:t>
      </w:r>
      <w:r>
        <w:rPr>
          <w:rFonts w:hint="eastAsia" w:ascii="宋体" w:hAnsi="宋体" w:eastAsia="宋体" w:cs="宋体"/>
          <w:b/>
          <w:bCs/>
          <w:kern w:val="0"/>
          <w:sz w:val="28"/>
          <w:szCs w:val="28"/>
          <w:shd w:val="clear" w:color="auto" w:fill="FFFFFF"/>
          <w:lang w:val="en-US" w:eastAsia="zh-CN"/>
        </w:rPr>
        <w:t xml:space="preserve"> </w:t>
      </w:r>
      <w:r>
        <w:rPr>
          <w:rFonts w:hint="eastAsia" w:ascii="宋体" w:hAnsi="宋体" w:eastAsia="宋体" w:cs="宋体"/>
          <w:b/>
          <w:bCs/>
          <w:kern w:val="0"/>
          <w:sz w:val="28"/>
          <w:szCs w:val="28"/>
          <w:shd w:val="clear" w:color="auto" w:fill="FFFFFF"/>
        </w:rPr>
        <w:t>政</w:t>
      </w:r>
      <w:r>
        <w:rPr>
          <w:rFonts w:hint="eastAsia" w:ascii="宋体" w:hAnsi="宋体" w:eastAsia="宋体" w:cs="宋体"/>
          <w:b/>
          <w:bCs/>
          <w:kern w:val="0"/>
          <w:sz w:val="28"/>
          <w:szCs w:val="28"/>
          <w:shd w:val="clear" w:color="auto" w:fill="FFFFFF"/>
          <w:lang w:val="en-US" w:eastAsia="zh-CN"/>
        </w:rPr>
        <w:t xml:space="preserve"> </w:t>
      </w:r>
      <w:r>
        <w:rPr>
          <w:rFonts w:hint="eastAsia" w:ascii="宋体" w:hAnsi="宋体" w:eastAsia="宋体" w:cs="宋体"/>
          <w:b/>
          <w:bCs/>
          <w:kern w:val="0"/>
          <w:sz w:val="28"/>
          <w:szCs w:val="28"/>
          <w:shd w:val="clear" w:color="auto" w:fill="FFFFFF"/>
        </w:rPr>
        <w:t>承</w:t>
      </w:r>
      <w:r>
        <w:rPr>
          <w:rFonts w:hint="eastAsia" w:ascii="宋体" w:hAnsi="宋体" w:eastAsia="宋体" w:cs="宋体"/>
          <w:b/>
          <w:bCs/>
          <w:kern w:val="0"/>
          <w:sz w:val="28"/>
          <w:szCs w:val="28"/>
          <w:shd w:val="clear" w:color="auto" w:fill="FFFFFF"/>
          <w:lang w:val="en-US" w:eastAsia="zh-CN"/>
        </w:rPr>
        <w:t xml:space="preserve"> </w:t>
      </w:r>
      <w:r>
        <w:rPr>
          <w:rFonts w:hint="eastAsia" w:ascii="宋体" w:hAnsi="宋体" w:eastAsia="宋体" w:cs="宋体"/>
          <w:b/>
          <w:bCs/>
          <w:kern w:val="0"/>
          <w:sz w:val="28"/>
          <w:szCs w:val="28"/>
          <w:shd w:val="clear" w:color="auto" w:fill="FFFFFF"/>
        </w:rPr>
        <w:t>诺</w:t>
      </w:r>
      <w:r>
        <w:rPr>
          <w:rFonts w:hint="eastAsia" w:ascii="宋体" w:hAnsi="宋体" w:eastAsia="宋体" w:cs="宋体"/>
          <w:b/>
          <w:bCs/>
          <w:kern w:val="0"/>
          <w:sz w:val="28"/>
          <w:szCs w:val="28"/>
          <w:shd w:val="clear" w:color="auto" w:fill="FFFFFF"/>
          <w:lang w:val="en-US" w:eastAsia="zh-CN"/>
        </w:rPr>
        <w:t xml:space="preserve"> </w:t>
      </w:r>
      <w:r>
        <w:rPr>
          <w:rFonts w:hint="eastAsia" w:ascii="宋体" w:hAnsi="宋体" w:eastAsia="宋体" w:cs="宋体"/>
          <w:b/>
          <w:bCs/>
          <w:kern w:val="0"/>
          <w:sz w:val="28"/>
          <w:szCs w:val="28"/>
          <w:shd w:val="clear" w:color="auto" w:fill="FFFFFF"/>
        </w:rPr>
        <w:t>书</w:t>
      </w:r>
    </w:p>
    <w:p w14:paraId="120EEBAB">
      <w:pPr>
        <w:adjustRightInd w:val="0"/>
        <w:snapToGrid w:val="0"/>
        <w:spacing w:line="580" w:lineRule="exact"/>
        <w:rPr>
          <w:rFonts w:ascii="宋体" w:hAnsi="宋体" w:cs="仿宋_GB2312"/>
          <w:kern w:val="0"/>
          <w:sz w:val="24"/>
          <w:szCs w:val="24"/>
          <w:u w:val="single"/>
          <w:shd w:val="clear" w:color="auto" w:fill="FFFFFF"/>
        </w:rPr>
      </w:pPr>
      <w:r>
        <w:rPr>
          <w:rFonts w:hint="eastAsia" w:ascii="宋体" w:hAnsi="宋体" w:cs="仿宋_GB2312"/>
          <w:kern w:val="0"/>
          <w:sz w:val="24"/>
          <w:szCs w:val="24"/>
          <w:shd w:val="clear" w:color="auto" w:fill="FFFFFF"/>
        </w:rPr>
        <w:t>甲方：</w:t>
      </w:r>
      <w:r>
        <w:rPr>
          <w:rFonts w:hint="eastAsia" w:ascii="宋体" w:hAnsi="宋体" w:cs="仿宋"/>
          <w:b/>
          <w:bCs/>
          <w:sz w:val="24"/>
          <w:szCs w:val="24"/>
        </w:rPr>
        <w:t>安徽新华集团投资有限公司</w:t>
      </w:r>
    </w:p>
    <w:p w14:paraId="1F900F17">
      <w:pPr>
        <w:adjustRightInd w:val="0"/>
        <w:snapToGrid w:val="0"/>
        <w:spacing w:line="580" w:lineRule="exact"/>
        <w:rPr>
          <w:rFonts w:ascii="宋体" w:hAnsi="宋体" w:cs="仿宋_GB2312"/>
          <w:kern w:val="0"/>
          <w:sz w:val="24"/>
          <w:szCs w:val="24"/>
          <w:u w:val="single"/>
          <w:shd w:val="clear" w:color="auto" w:fill="FFFFFF"/>
        </w:rPr>
      </w:pPr>
      <w:r>
        <w:rPr>
          <w:rFonts w:hint="eastAsia" w:ascii="宋体" w:hAnsi="宋体" w:cs="仿宋_GB2312"/>
          <w:kern w:val="0"/>
          <w:sz w:val="24"/>
          <w:szCs w:val="24"/>
          <w:shd w:val="clear" w:color="auto" w:fill="FFFFFF"/>
        </w:rPr>
        <w:t>乙方：</w:t>
      </w:r>
    </w:p>
    <w:p w14:paraId="19A98845">
      <w:pPr>
        <w:spacing w:line="360" w:lineRule="auto"/>
        <w:ind w:firstLine="480" w:firstLineChars="200"/>
        <w:rPr>
          <w:rFonts w:hint="eastAsia" w:ascii="宋体" w:hAnsi="宋体" w:eastAsia="宋体" w:cs="宋体"/>
          <w:sz w:val="24"/>
        </w:rPr>
      </w:pPr>
      <w:r>
        <w:rPr>
          <w:rFonts w:hint="eastAsia" w:ascii="宋体" w:hAnsi="宋体" w:eastAsia="宋体" w:cs="宋体"/>
          <w:sz w:val="24"/>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41A3119C">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第一条 甲乙双方共同承诺</w:t>
      </w:r>
    </w:p>
    <w:p w14:paraId="53DDC16A">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（一）严格遵守国家关于市场准入、项目招标投标、工程建设、施工安装、物资采购和市场活动等有关法律、法规和相关政策，以及廉政建设的各项规定。</w:t>
      </w:r>
    </w:p>
    <w:p w14:paraId="33277753">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（二）严格执行合同文件，自觉按合同办事。</w:t>
      </w:r>
    </w:p>
    <w:p w14:paraId="779C98F3">
      <w:pPr>
        <w:spacing w:line="360" w:lineRule="auto"/>
        <w:ind w:firstLine="480" w:firstLineChars="200"/>
        <w:rPr>
          <w:rFonts w:hint="eastAsia" w:ascii="宋体" w:hAnsi="宋体" w:eastAsia="宋体" w:cs="宋体"/>
          <w:sz w:val="24"/>
        </w:rPr>
      </w:pPr>
      <w:r>
        <w:rPr>
          <w:rFonts w:hint="eastAsia" w:ascii="宋体" w:hAnsi="宋体" w:eastAsia="宋体" w:cs="宋体"/>
          <w:sz w:val="24"/>
        </w:rPr>
        <w:t>（三）坚持公开、公平、公正的原则，不为获取不正当利益而损害对方利益。</w:t>
      </w:r>
    </w:p>
    <w:p w14:paraId="2DBA457E">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（四）保守对方的商业秘密，不将其用于交易以外的目的。</w:t>
      </w:r>
    </w:p>
    <w:p w14:paraId="3D8AAB7A">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第二条 甲方承诺</w:t>
      </w:r>
    </w:p>
    <w:p w14:paraId="0D5E8AB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在交易的事前、事中、事后遵守以下（包括但不限于）事项： </w:t>
      </w:r>
    </w:p>
    <w:p w14:paraId="45C6D3A2">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（一）不参加乙方或相关单位的宴请。</w:t>
      </w:r>
    </w:p>
    <w:p w14:paraId="576418D8">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（二）不私自收受乙方或相关单位的礼品、礼券或以“低价付款”的物品。</w:t>
      </w:r>
    </w:p>
    <w:p w14:paraId="05773605">
      <w:pPr>
        <w:spacing w:line="360" w:lineRule="auto"/>
        <w:ind w:firstLine="480" w:firstLineChars="200"/>
        <w:rPr>
          <w:rFonts w:hint="eastAsia" w:ascii="宋体" w:hAnsi="宋体" w:eastAsia="宋体" w:cs="宋体"/>
          <w:sz w:val="24"/>
        </w:rPr>
      </w:pPr>
      <w:r>
        <w:rPr>
          <w:rFonts w:hint="eastAsia" w:ascii="宋体" w:hAnsi="宋体" w:eastAsia="宋体" w:cs="宋体"/>
          <w:sz w:val="24"/>
        </w:rPr>
        <w:t>（三）不接受乙方或相关单位的礼金、贿赂、</w:t>
      </w:r>
      <w:r>
        <w:rPr>
          <w:rFonts w:hint="eastAsia" w:ascii="宋体" w:hAnsi="宋体" w:eastAsia="宋体" w:cs="宋体"/>
          <w:sz w:val="24"/>
          <w:lang w:val="en-US" w:eastAsia="zh-CN"/>
        </w:rPr>
        <w:t>账</w:t>
      </w:r>
      <w:r>
        <w:rPr>
          <w:rFonts w:hint="eastAsia" w:ascii="宋体" w:hAnsi="宋体" w:eastAsia="宋体" w:cs="宋体"/>
          <w:sz w:val="24"/>
        </w:rPr>
        <w:t>外回扣等任何形式的私下经济利益。</w:t>
      </w:r>
    </w:p>
    <w:p w14:paraId="005A48E8">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（四）不私自接受乙方或相关单位提供的娱乐、游玩或任何考察形式的变相旅游等活动。</w:t>
      </w:r>
    </w:p>
    <w:p w14:paraId="63B89C7C">
      <w:pPr>
        <w:spacing w:line="360" w:lineRule="auto"/>
        <w:ind w:firstLine="480" w:firstLineChars="200"/>
        <w:rPr>
          <w:rFonts w:hint="eastAsia" w:ascii="宋体" w:hAnsi="宋体" w:eastAsia="宋体" w:cs="宋体"/>
          <w:sz w:val="24"/>
        </w:rPr>
      </w:pPr>
      <w:r>
        <w:rPr>
          <w:rFonts w:hint="eastAsia" w:ascii="宋体" w:hAnsi="宋体" w:eastAsia="宋体" w:cs="宋体"/>
          <w:sz w:val="24"/>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4519C375">
      <w:pPr>
        <w:spacing w:line="360" w:lineRule="auto"/>
        <w:ind w:firstLine="480" w:firstLineChars="200"/>
        <w:rPr>
          <w:rFonts w:hint="eastAsia" w:ascii="宋体" w:hAnsi="宋体" w:eastAsia="宋体" w:cs="宋体"/>
          <w:sz w:val="24"/>
        </w:rPr>
      </w:pPr>
      <w:r>
        <w:rPr>
          <w:rFonts w:hint="eastAsia" w:ascii="宋体" w:hAnsi="宋体" w:eastAsia="宋体" w:cs="宋体"/>
          <w:sz w:val="24"/>
        </w:rPr>
        <w:t>（六）不得有其他任何在乙方等相关单位获取不当利益的行为。</w:t>
      </w:r>
    </w:p>
    <w:p w14:paraId="11B2D79F">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第三条 乙方承诺</w:t>
      </w:r>
    </w:p>
    <w:p w14:paraId="301A661D">
      <w:pPr>
        <w:spacing w:line="360" w:lineRule="auto"/>
        <w:ind w:firstLine="480" w:firstLineChars="200"/>
        <w:rPr>
          <w:rFonts w:hint="eastAsia" w:ascii="宋体" w:hAnsi="宋体" w:eastAsia="宋体" w:cs="宋体"/>
          <w:sz w:val="24"/>
        </w:rPr>
      </w:pPr>
      <w:r>
        <w:rPr>
          <w:rFonts w:hint="eastAsia" w:ascii="宋体" w:hAnsi="宋体" w:eastAsia="宋体" w:cs="宋体"/>
          <w:sz w:val="24"/>
        </w:rPr>
        <w:t>在交易的事前、事中、事后遵守以下（包括但不限于）事项：</w:t>
      </w:r>
    </w:p>
    <w:p w14:paraId="72D2FF4F">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（一）与甲方保持正常的业务交往，严格执行合同约定。</w:t>
      </w:r>
    </w:p>
    <w:p w14:paraId="4EC6839B">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（二）不向甲方工作人员及任何与甲方相关联的单位或个人提供宴请、旅游、健身、娱乐、变相考察等活动。</w:t>
      </w:r>
    </w:p>
    <w:p w14:paraId="79265A46">
      <w:pPr>
        <w:spacing w:line="360" w:lineRule="auto"/>
        <w:ind w:firstLine="480" w:firstLineChars="200"/>
        <w:rPr>
          <w:rFonts w:hint="eastAsia" w:ascii="宋体" w:hAnsi="宋体" w:eastAsia="宋体" w:cs="宋体"/>
          <w:sz w:val="24"/>
        </w:rPr>
      </w:pPr>
      <w:r>
        <w:rPr>
          <w:rFonts w:hint="eastAsia" w:ascii="宋体" w:hAnsi="宋体" w:eastAsia="宋体" w:cs="宋体"/>
          <w:sz w:val="24"/>
        </w:rPr>
        <w:t>（三）不私自向甲方、相关单位及其工作人员赠送礼品、现金、有价卡券等。</w:t>
      </w:r>
    </w:p>
    <w:p w14:paraId="119C031F">
      <w:pPr>
        <w:spacing w:line="360" w:lineRule="auto"/>
        <w:ind w:firstLine="480" w:firstLineChars="200"/>
        <w:rPr>
          <w:rFonts w:hint="eastAsia" w:ascii="宋体" w:hAnsi="宋体" w:eastAsia="宋体" w:cs="宋体"/>
          <w:sz w:val="24"/>
        </w:rPr>
      </w:pPr>
      <w:r>
        <w:rPr>
          <w:rFonts w:hint="eastAsia" w:ascii="宋体" w:hAnsi="宋体" w:eastAsia="宋体" w:cs="宋体"/>
          <w:sz w:val="24"/>
        </w:rPr>
        <w:t>（四）不在</w:t>
      </w:r>
      <w:r>
        <w:rPr>
          <w:rFonts w:hint="eastAsia" w:ascii="宋体" w:hAnsi="宋体" w:eastAsia="宋体" w:cs="宋体"/>
          <w:sz w:val="24"/>
          <w:lang w:val="en-US" w:eastAsia="zh-CN"/>
        </w:rPr>
        <w:t>账</w:t>
      </w:r>
      <w:r>
        <w:rPr>
          <w:rFonts w:hint="eastAsia" w:ascii="宋体" w:hAnsi="宋体" w:eastAsia="宋体" w:cs="宋体"/>
          <w:sz w:val="24"/>
        </w:rPr>
        <w:t>外给予甲方、相关单位及其工作人员回扣；不假借促销费、宣传费、赞助费、科研费、劳务费、咨询费、好处费、感谢费、佣金等名义，或者以报销各种费用等方式，给付甲方、相关单位及其工作人员财物（利益）。</w:t>
      </w:r>
    </w:p>
    <w:p w14:paraId="5C226EF2">
      <w:pPr>
        <w:spacing w:line="360" w:lineRule="auto"/>
        <w:ind w:firstLine="480" w:firstLineChars="200"/>
        <w:rPr>
          <w:rFonts w:hint="eastAsia" w:ascii="宋体" w:hAnsi="宋体" w:eastAsia="宋体" w:cs="宋体"/>
          <w:sz w:val="24"/>
        </w:rPr>
      </w:pPr>
      <w:r>
        <w:rPr>
          <w:rFonts w:hint="eastAsia" w:ascii="宋体" w:hAnsi="宋体" w:eastAsia="宋体" w:cs="宋体"/>
          <w:sz w:val="24"/>
        </w:rPr>
        <w:t>（五）及时向甲方通报甲方人员违反本承诺书规定的行为。</w:t>
      </w:r>
    </w:p>
    <w:p w14:paraId="5E0E22C8">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第四条 违约责任</w:t>
      </w:r>
    </w:p>
    <w:p w14:paraId="2F53090E">
      <w:pPr>
        <w:spacing w:line="360" w:lineRule="auto"/>
        <w:ind w:firstLine="480" w:firstLineChars="200"/>
        <w:rPr>
          <w:rFonts w:hint="eastAsia" w:ascii="宋体" w:hAnsi="宋体" w:eastAsia="宋体" w:cs="宋体"/>
          <w:sz w:val="24"/>
        </w:rPr>
      </w:pPr>
      <w:r>
        <w:rPr>
          <w:rFonts w:hint="eastAsia" w:ascii="宋体" w:hAnsi="宋体" w:eastAsia="宋体" w:cs="宋体"/>
          <w:sz w:val="24"/>
        </w:rPr>
        <w:t>（一）甲方工作人员违反本承诺书第一条、第二条的，严格按甲方相关公司制度处理和有关法律法规处理;涉嫌犯罪的，移交司法机关处理；给乙方造成经济损失的，责任人应予以赔偿。</w:t>
      </w:r>
    </w:p>
    <w:p w14:paraId="615F289B">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（二）乙方工作人员违反本承诺书第一条、第三条的，按乙方相关制度和有关法律法规处理，甲方有权终止合同;涉嫌犯罪的，移交司法机关处理；给甲方造成经济损失的，乙方承担赔偿责任。</w:t>
      </w:r>
    </w:p>
    <w:p w14:paraId="5E710BE2">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第五条 本承诺书作为交易合同或协议的附件，与交易合同或协议具有同等法律效力。经双方签署后立即生效。</w:t>
      </w:r>
    </w:p>
    <w:p w14:paraId="009072A2">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第六条 乙方在履行合同或协议过程中，若发现甲方的相关人员有违反《廉政承诺书》所规定的行为，可以直接向甲方审计督查部投诉（电话：15005518562）。</w:t>
      </w:r>
    </w:p>
    <w:p w14:paraId="24672B99">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第七条 本承诺书一式</w:t>
      </w:r>
      <w:r>
        <w:rPr>
          <w:rFonts w:hint="eastAsia" w:ascii="宋体" w:hAnsi="宋体" w:eastAsia="宋体" w:cs="宋体"/>
          <w:sz w:val="24"/>
          <w:lang w:val="en-US" w:eastAsia="zh-CN"/>
        </w:rPr>
        <w:t>伍</w:t>
      </w:r>
      <w:r>
        <w:rPr>
          <w:rFonts w:hint="eastAsia" w:ascii="宋体" w:hAnsi="宋体" w:eastAsia="宋体" w:cs="宋体"/>
          <w:sz w:val="24"/>
        </w:rPr>
        <w:t>份，甲方肆份、乙方</w:t>
      </w:r>
      <w:r>
        <w:rPr>
          <w:rFonts w:hint="eastAsia" w:ascii="宋体" w:hAnsi="宋体" w:eastAsia="宋体" w:cs="宋体"/>
          <w:sz w:val="24"/>
          <w:lang w:val="en-US" w:eastAsia="zh-CN"/>
        </w:rPr>
        <w:t>壹</w:t>
      </w:r>
      <w:r>
        <w:rPr>
          <w:rFonts w:hint="eastAsia" w:ascii="宋体" w:hAnsi="宋体" w:eastAsia="宋体" w:cs="宋体"/>
          <w:sz w:val="24"/>
        </w:rPr>
        <w:t>份。</w:t>
      </w:r>
    </w:p>
    <w:p w14:paraId="38500F3F">
      <w:pPr>
        <w:spacing w:line="360" w:lineRule="auto"/>
        <w:ind w:firstLine="480" w:firstLineChars="200"/>
        <w:rPr>
          <w:rFonts w:hint="eastAsia" w:ascii="宋体" w:hAnsi="宋体" w:eastAsia="宋体" w:cs="宋体"/>
          <w:sz w:val="24"/>
        </w:rPr>
      </w:pPr>
    </w:p>
    <w:p w14:paraId="07FE850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甲方单位：（盖章）                   乙方单位：（盖章）</w:t>
      </w:r>
    </w:p>
    <w:p w14:paraId="54161EA6">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                         法定代表人：</w:t>
      </w:r>
    </w:p>
    <w:p w14:paraId="06B0E30D">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法定代表人联系电话：                 法定代表人联系电话：</w:t>
      </w:r>
    </w:p>
    <w:p w14:paraId="3B58A735">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委托代理人：                         委托代理人：</w:t>
      </w:r>
    </w:p>
    <w:p w14:paraId="3DDAF42F">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                         项目负责人：</w:t>
      </w:r>
    </w:p>
    <w:p w14:paraId="5B83CAD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监督电话：15005518562                监督电话：                                </w:t>
      </w:r>
    </w:p>
    <w:p w14:paraId="0B6FAF4A">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监督邮箱：xhjtdc@xinhuaedu.com       监督邮箱：</w:t>
      </w:r>
    </w:p>
    <w:p w14:paraId="63EB4A3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jtdsz@xinhuaedu.com          </w:t>
      </w:r>
    </w:p>
    <w:p w14:paraId="3DB978D1">
      <w:pPr>
        <w:spacing w:line="420" w:lineRule="exact"/>
        <w:ind w:right="275" w:rightChars="131" w:firstLine="607" w:firstLineChars="253"/>
        <w:rPr>
          <w:rFonts w:ascii="宋体" w:hAnsi="宋体" w:cs="仿宋_GB2312"/>
          <w:b/>
          <w:bCs/>
          <w:kern w:val="0"/>
          <w:sz w:val="24"/>
          <w:szCs w:val="24"/>
          <w:shd w:val="clear" w:color="auto" w:fill="FFFFFF"/>
        </w:rPr>
      </w:pPr>
      <w:r>
        <w:rPr>
          <w:rFonts w:ascii="宋体" w:hAnsi="宋体" w:cs="仿宋_GB2312"/>
          <w:kern w:val="0"/>
          <w:sz w:val="24"/>
          <w:szCs w:val="24"/>
          <w:shd w:val="clear" w:color="auto" w:fill="FFFFFF"/>
        </w:rPr>
        <w:t>备注：各单位在使用《廉政承诺书》时，不得删改落款签署部分的项目，不得删改监督电话号码和督查邮箱。</w:t>
      </w:r>
    </w:p>
    <w:p w14:paraId="025954B8">
      <w:pPr>
        <w:spacing w:line="420" w:lineRule="exact"/>
        <w:ind w:right="275" w:rightChars="131"/>
        <w:rPr>
          <w:rFonts w:ascii="宋体" w:hAnsi="宋体"/>
          <w:sz w:val="24"/>
        </w:rPr>
      </w:pPr>
    </w:p>
    <w:p w14:paraId="60936DE0">
      <w:pPr>
        <w:spacing w:line="420" w:lineRule="exact"/>
        <w:rPr>
          <w:rFonts w:hint="eastAsia" w:ascii="仿宋" w:hAnsi="仿宋" w:eastAsia="仿宋" w:cs="仿宋"/>
          <w:b/>
          <w:bCs/>
          <w:sz w:val="44"/>
          <w:szCs w:val="44"/>
        </w:rPr>
      </w:pPr>
      <w:r>
        <w:br w:type="page"/>
      </w:r>
      <w:r>
        <w:rPr>
          <w:rFonts w:hint="eastAsia" w:ascii="宋体" w:hAnsi="宋体" w:eastAsia="宋体" w:cs="宋体"/>
          <w:b/>
          <w:bCs/>
          <w:sz w:val="28"/>
          <w:szCs w:val="28"/>
        </w:rPr>
        <w:t>附件四</w:t>
      </w:r>
    </w:p>
    <w:p w14:paraId="01040C05">
      <w:pPr>
        <w:jc w:val="center"/>
        <w:rPr>
          <w:rFonts w:hint="eastAsia" w:ascii="宋体" w:hAnsi="宋体" w:eastAsia="宋体" w:cs="宋体"/>
          <w:sz w:val="28"/>
          <w:szCs w:val="28"/>
        </w:rPr>
      </w:pPr>
      <w:r>
        <w:rPr>
          <w:rFonts w:hint="eastAsia" w:ascii="宋体" w:hAnsi="宋体" w:eastAsia="宋体" w:cs="宋体"/>
          <w:b/>
          <w:bCs/>
          <w:sz w:val="28"/>
          <w:szCs w:val="28"/>
        </w:rPr>
        <w:t>保</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证</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承</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诺</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书</w:t>
      </w:r>
    </w:p>
    <w:p w14:paraId="48E8DF79">
      <w:pPr>
        <w:spacing w:before="156" w:beforeLines="50" w:after="156" w:afterLines="50"/>
        <w:rPr>
          <w:rFonts w:hint="eastAsia" w:ascii="宋体" w:hAnsi="宋体" w:eastAsia="宋体" w:cs="宋体"/>
          <w:b/>
          <w:bCs/>
          <w:sz w:val="24"/>
          <w:szCs w:val="24"/>
        </w:rPr>
      </w:pPr>
      <w:r>
        <w:rPr>
          <w:rFonts w:hint="eastAsia" w:ascii="宋体" w:hAnsi="宋体" w:eastAsia="宋体" w:cs="宋体"/>
          <w:b/>
          <w:bCs/>
          <w:sz w:val="24"/>
          <w:szCs w:val="24"/>
        </w:rPr>
        <w:t>致：安徽新华集团投资有限公司</w:t>
      </w:r>
    </w:p>
    <w:p w14:paraId="063D3776">
      <w:pPr>
        <w:spacing w:before="312" w:beforeLines="100" w:after="312" w:afterLines="100"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保证人***，身份证号码***，系***公司法定代表人/项目负责人。现保证人针对***公司与安徽新华集团投资有限公司就***</w:t>
      </w:r>
      <w:r>
        <w:rPr>
          <w:rFonts w:hint="eastAsia" w:ascii="宋体" w:hAnsi="宋体" w:eastAsia="宋体" w:cs="宋体"/>
          <w:sz w:val="24"/>
          <w:szCs w:val="24"/>
          <w:u w:val="single"/>
        </w:rPr>
        <w:t>项目</w:t>
      </w:r>
      <w:r>
        <w:rPr>
          <w:rFonts w:hint="eastAsia" w:ascii="宋体" w:hAnsi="宋体" w:eastAsia="宋体" w:cs="宋体"/>
          <w:sz w:val="24"/>
          <w:szCs w:val="24"/>
        </w:rPr>
        <w:t>合作并签订</w:t>
      </w:r>
      <w:r>
        <w:rPr>
          <w:rFonts w:hint="eastAsia" w:ascii="宋体" w:hAnsi="宋体" w:eastAsia="宋体" w:cs="宋体"/>
          <w:bCs/>
          <w:sz w:val="24"/>
          <w:szCs w:val="24"/>
        </w:rPr>
        <w:t>《***合同》</w:t>
      </w:r>
      <w:r>
        <w:rPr>
          <w:rFonts w:hint="eastAsia" w:ascii="宋体" w:hAnsi="宋体" w:eastAsia="宋体" w:cs="宋体"/>
          <w:sz w:val="24"/>
          <w:szCs w:val="24"/>
        </w:rPr>
        <w:t>（下称主合同）事宜，为确保***公司全面履行其在主合同中的各项责任与义务，保证人自愿为其向安徽新华集团投资有限公司提供不可撤销的连带保证责任担保，并向安徽新华集团投资有限公司郑重承诺：</w:t>
      </w:r>
    </w:p>
    <w:p w14:paraId="237E7D92">
      <w:pPr>
        <w:spacing w:before="312" w:beforeLines="100" w:after="312" w:afterLines="100"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一、保证范围。</w:t>
      </w:r>
      <w:r>
        <w:rPr>
          <w:rFonts w:hint="eastAsia" w:ascii="宋体" w:hAnsi="宋体" w:eastAsia="宋体" w:cs="宋体"/>
          <w:bCs/>
          <w:sz w:val="24"/>
          <w:szCs w:val="24"/>
        </w:rPr>
        <w:t>保证人的保证范围，为主合同项下***公司对</w:t>
      </w:r>
      <w:r>
        <w:rPr>
          <w:rFonts w:hint="eastAsia" w:ascii="宋体" w:hAnsi="宋体" w:eastAsia="宋体" w:cs="宋体"/>
          <w:sz w:val="24"/>
          <w:szCs w:val="24"/>
        </w:rPr>
        <w:t>安徽新华集团投资有限公司</w:t>
      </w:r>
      <w:r>
        <w:rPr>
          <w:rFonts w:hint="eastAsia" w:ascii="宋体" w:hAnsi="宋体" w:eastAsia="宋体" w:cs="宋体"/>
          <w:bCs/>
          <w:sz w:val="24"/>
          <w:szCs w:val="24"/>
        </w:rPr>
        <w:t>应承担的全部责任、义务、债务等，以及为实现债权而支付的各项费用（包括但不限于诉讼费/仲裁费、财产保全费、财产保全服务费、律师费、差旅费、公证费、执行费、公告费等费用）。</w:t>
      </w:r>
    </w:p>
    <w:p w14:paraId="4FAEF872">
      <w:pPr>
        <w:spacing w:before="312" w:beforeLines="100" w:after="312" w:afterLines="100" w:line="4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二、保证期间。</w:t>
      </w:r>
      <w:r>
        <w:rPr>
          <w:rFonts w:hint="eastAsia" w:ascii="宋体" w:hAnsi="宋体" w:eastAsia="宋体" w:cs="宋体"/>
          <w:sz w:val="24"/>
          <w:szCs w:val="24"/>
        </w:rPr>
        <w:t>保证人的保证期间，为***公司在主合同项下债务履行期限届满后三年；若主合同项下的债务约定分期履行的，则保证期间至***公司在主合同项下最后一期债务履行期限届满后三年。</w:t>
      </w:r>
    </w:p>
    <w:p w14:paraId="71D33590">
      <w:pPr>
        <w:spacing w:before="312" w:beforeLines="100" w:after="312" w:afterLines="100" w:line="42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三、保证方式。</w:t>
      </w:r>
      <w:r>
        <w:rPr>
          <w:rFonts w:hint="eastAsia" w:ascii="宋体" w:hAnsi="宋体" w:eastAsia="宋体" w:cs="宋体"/>
          <w:sz w:val="24"/>
          <w:szCs w:val="24"/>
        </w:rPr>
        <w:t>保证人承担独立的、不可撤销的、连带责任保证担保。任何情况下，不因主合同无效、撤销等等而影响本承诺书的效力。</w:t>
      </w:r>
    </w:p>
    <w:p w14:paraId="533ED040">
      <w:pPr>
        <w:spacing w:before="312" w:beforeLines="100" w:after="312" w:afterLines="100"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保证人承诺，无论是否对被担保债权享有其他担保（包括但不限于保证、抵押、质押等），保证人在本承诺书项下的保证责任均不因此减免。均可直接要求保证人依照本承诺书约定承担保证责任，保证人不提出任何异议。</w:t>
      </w:r>
    </w:p>
    <w:p w14:paraId="6DABFB89">
      <w:pPr>
        <w:spacing w:before="312" w:beforeLines="100" w:after="312" w:afterLines="100"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五、保证人是具备完全民事行为能力的自然人，保证人为签订本承诺书提供的所有文件、信息及签字均真实、完整、有效。</w:t>
      </w:r>
    </w:p>
    <w:p w14:paraId="38453AEE">
      <w:pPr>
        <w:spacing w:before="312" w:beforeLines="100" w:after="312" w:afterLines="100" w:line="4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六、保证人已充分理解并全面认可主合同及本承诺书的所有条款内容，并承诺任何情况下不得对其提出任何异议。</w:t>
      </w:r>
    </w:p>
    <w:p w14:paraId="6E86036A">
      <w:pPr>
        <w:pStyle w:val="9"/>
        <w:spacing w:before="312" w:beforeLines="100" w:after="312" w:afterLines="100" w:line="420" w:lineRule="exact"/>
        <w:ind w:left="359" w:leftChars="171" w:firstLine="5520" w:firstLineChars="2300"/>
        <w:rPr>
          <w:rFonts w:hint="eastAsia" w:ascii="宋体" w:hAnsi="宋体" w:eastAsia="宋体" w:cs="宋体"/>
          <w:sz w:val="24"/>
          <w:szCs w:val="24"/>
        </w:rPr>
      </w:pPr>
    </w:p>
    <w:p w14:paraId="31CF23FE">
      <w:pPr>
        <w:pStyle w:val="9"/>
        <w:spacing w:before="312" w:beforeLines="100" w:after="312" w:afterLines="100" w:line="420" w:lineRule="exact"/>
        <w:ind w:left="359" w:leftChars="171" w:firstLine="5520" w:firstLineChars="2300"/>
        <w:rPr>
          <w:rFonts w:hint="eastAsia" w:ascii="宋体" w:hAnsi="宋体" w:eastAsia="宋体" w:cs="宋体"/>
          <w:sz w:val="24"/>
          <w:szCs w:val="24"/>
          <w:lang w:eastAsia="zh-CN"/>
        </w:rPr>
      </w:pPr>
      <w:r>
        <w:rPr>
          <w:rFonts w:hint="eastAsia" w:ascii="宋体" w:hAnsi="宋体" w:eastAsia="宋体" w:cs="宋体"/>
          <w:sz w:val="24"/>
          <w:szCs w:val="24"/>
        </w:rPr>
        <w:t>保证人</w:t>
      </w:r>
      <w:r>
        <w:rPr>
          <w:rFonts w:hint="eastAsia" w:ascii="宋体" w:hAnsi="宋体" w:eastAsia="宋体" w:cs="宋体"/>
          <w:sz w:val="24"/>
          <w:szCs w:val="24"/>
          <w:lang w:eastAsia="zh-CN"/>
        </w:rPr>
        <w:t>：</w:t>
      </w:r>
    </w:p>
    <w:p w14:paraId="1E9BD32C">
      <w:bookmarkStart w:id="131" w:name="_GoBack"/>
      <w:bookmarkEnd w:id="131"/>
    </w:p>
    <w:sectPr>
      <w:pgSz w:w="11906" w:h="16838"/>
      <w:pgMar w:top="1247" w:right="1134" w:bottom="1247" w:left="1134"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B4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D32DD">
                          <w:pPr>
                            <w:pStyle w:val="2"/>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C1D32DD">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79B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2C0F7E">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A2C0F7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D1C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5427E"/>
    <w:multiLevelType w:val="singleLevel"/>
    <w:tmpl w:val="4675427E"/>
    <w:lvl w:ilvl="0" w:tentative="0">
      <w:start w:val="1"/>
      <w:numFmt w:val="decimal"/>
      <w:suff w:val="nothing"/>
      <w:lvlText w:val="%1、"/>
      <w:lvlJc w:val="left"/>
    </w:lvl>
  </w:abstractNum>
  <w:abstractNum w:abstractNumId="1">
    <w:nsid w:val="4B31E225"/>
    <w:multiLevelType w:val="singleLevel"/>
    <w:tmpl w:val="4B31E22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2C2164A3"/>
    <w:rsid w:val="2C21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8">
    <w:name w:val="page number"/>
    <w:qFormat/>
    <w:uiPriority w:val="0"/>
  </w:style>
  <w:style w:type="paragraph" w:styleId="9">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2024-10-25T07:26:00Z</dcterms:created>
  <dc:creator>千里草1403852088</dc:creator>
  <cp:lastModifiedBy>千里草1403852088</cp:lastModifiedBy>
  <dcterms:modified xsi:type="dcterms:W3CDTF">2024-10-25T07:26:45Z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E9D83BBC0C174D4A96A2DCBE3EC487A8_11</vt:lpwstr>
  </property>
</Properties>
</file>