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</w:t>
      </w:r>
    </w:p>
    <w:p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新华学院17#楼二层中央空调通风改造</w:t>
      </w:r>
      <w:r>
        <w:rPr>
          <w:b/>
          <w:sz w:val="30"/>
          <w:szCs w:val="30"/>
        </w:rPr>
        <w:t>工程</w:t>
      </w:r>
      <w:r>
        <w:rPr>
          <w:rFonts w:hint="eastAsia"/>
          <w:b/>
          <w:sz w:val="30"/>
          <w:szCs w:val="30"/>
        </w:rPr>
        <w:t>预算</w:t>
      </w:r>
      <w:r>
        <w:rPr>
          <w:b/>
          <w:sz w:val="30"/>
          <w:szCs w:val="30"/>
        </w:rPr>
        <w:t>表</w:t>
      </w:r>
    </w:p>
    <w:bookmarkEnd w:id="0"/>
    <w:tbl>
      <w:tblPr>
        <w:tblStyle w:val="2"/>
        <w:tblW w:w="584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42"/>
        <w:gridCol w:w="3051"/>
        <w:gridCol w:w="614"/>
        <w:gridCol w:w="596"/>
        <w:gridCol w:w="1147"/>
        <w:gridCol w:w="934"/>
        <w:gridCol w:w="9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名称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参考型号</w:t>
            </w: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>技术参数</w:t>
            </w:r>
            <w:r>
              <w:rPr>
                <w:rFonts w:hint="eastAsia"/>
                <w:sz w:val="22"/>
                <w:szCs w:val="22"/>
              </w:rPr>
              <w:t>（自行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填报）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单位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数量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单价</w:t>
            </w:r>
            <w:r>
              <w:rPr>
                <w:rFonts w:hint="eastAsia"/>
                <w:sz w:val="22"/>
                <w:szCs w:val="22"/>
              </w:rPr>
              <w:t>（元）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总价</w:t>
            </w:r>
            <w:r>
              <w:rPr>
                <w:rFonts w:hint="eastAsia"/>
                <w:sz w:val="22"/>
                <w:szCs w:val="22"/>
              </w:rPr>
              <w:t>（元）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多联机室外机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制冷量：68Kw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制热量：75Kw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制冷耗电量：21.25kw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制热耗电量：</w:t>
            </w:r>
            <w:r>
              <w:rPr>
                <w:rFonts w:hint="eastAsia"/>
                <w:sz w:val="22"/>
                <w:szCs w:val="22"/>
              </w:rPr>
              <w:t>20.90kw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卡嵌式室内机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制冷量：10Kw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制热量：11.2Kw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输入功率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130w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卡嵌式室内机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制冷量：9.0Kw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制热量：10.0Kw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输入功率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60w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卡嵌式室内机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制冷量：8.4Kw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制热量：9.6Kw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输入功率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60w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卡嵌式室内机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制冷量：7.1Kw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制热量：8.5Kw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输入功率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70w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台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新购设备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安装费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1台室外机、8台室内机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主要材料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铜管、分歧管、冷凝水管、橡塑保温、信号线、控制线、线管、控制面板等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辅材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吊杆、吊丝、膨胀丝、胶水、胶带等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空调移机费</w:t>
            </w:r>
          </w:p>
        </w:tc>
        <w:tc>
          <w:tcPr>
            <w:tcW w:w="15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含空调移机所需的所有人工及材料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</w:t>
            </w:r>
          </w:p>
        </w:tc>
        <w:tc>
          <w:tcPr>
            <w:tcW w:w="2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全部总价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（人民币）</w:t>
            </w:r>
          </w:p>
        </w:tc>
        <w:tc>
          <w:tcPr>
            <w:tcW w:w="3685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  <w:tc>
          <w:tcPr>
            <w:tcW w:w="3685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原有12套空调设备拆除、检验检测、维护保养由中标单位负责。其中11台设备安装在新的使用区域、包含室内机使用的镀锌铁皮风管、橡塑保温等（安装材料换新），</w:t>
            </w:r>
            <w:r>
              <w:rPr>
                <w:rFonts w:ascii="宋体" w:hAnsi="宋体" w:cs="宋体"/>
                <w:sz w:val="22"/>
                <w:szCs w:val="22"/>
              </w:rPr>
              <w:t>重新安装后由中标单位承担相应的保修责任。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投标单位应仔细勘察施工现场，综合考虑施工现场情况，作出报价。否则，由此发生的所有风险由投标单位自行承担。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本项目为交钥匙工程，报价应包括外购、外协、配套件，原材料及生产制造、检验、出成品、包装，保险、利税、管理、运费、装卸、安装、调试、检测、软件、硬件，及其他为完成本项目所发生的全部费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0491F"/>
    <w:rsid w:val="6990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2021-01-25T01:55:00Z</dcterms:created>
  <dc:creator>心若向阳</dc:creator>
  <cp:lastModifiedBy>心若向阳</cp:lastModifiedBy>
  <dcterms:modified xsi:type="dcterms:W3CDTF">2021-01-25T01:58:15Z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