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</w:t>
      </w:r>
    </w:p>
    <w:p w14:paraId="62DFE7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5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3D打印实验室设备采购项目需求表（报价表）</w:t>
      </w:r>
    </w:p>
    <w:tbl>
      <w:tblPr>
        <w:tblStyle w:val="6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31"/>
        <w:gridCol w:w="967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桌面级FDM打印机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桌面级FDM打印机（可彩打）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F2834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4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518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8CF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3BAA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08A6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桌面级光固化打印机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FE4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823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103E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8897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AB3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379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52A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3CE3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93A57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声速测定仪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330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16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03D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36A3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110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99E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04B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BF92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0E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三维设计/切片软件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E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76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B4F6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D19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AD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560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9E8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6907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C8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耗材 </w:t>
            </w: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1"/>
                <w:szCs w:val="21"/>
              </w:rPr>
              <w:t xml:space="preserve">PLA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丝材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AE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34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B92D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610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354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253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C49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A99C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76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光敏树脂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9A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27D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3F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F20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303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54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8C3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59AD">
            <w:pPr>
              <w:pStyle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9C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无水乙醇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44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AC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B93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D3D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0A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F13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（</w:t>
            </w:r>
            <w: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：              ）</w:t>
            </w: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851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备注：报价均为含税、含运、安装和调试等价格。</w:t>
            </w:r>
          </w:p>
        </w:tc>
      </w:tr>
    </w:tbl>
    <w:p w14:paraId="42A0CC58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A0F577F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078D308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7EA8F931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30CCF810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9F4BD90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5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3D打印实验室设备设备参数偏离表</w:t>
      </w:r>
    </w:p>
    <w:p w14:paraId="48963427">
      <w:pPr>
        <w:rPr>
          <w:rFonts w:hint="default"/>
          <w:lang w:val="en-US"/>
        </w:rPr>
      </w:pPr>
    </w:p>
    <w:tbl>
      <w:tblPr>
        <w:tblStyle w:val="6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809"/>
        <w:gridCol w:w="4926"/>
        <w:gridCol w:w="1247"/>
        <w:gridCol w:w="1125"/>
        <w:gridCol w:w="947"/>
        <w:gridCol w:w="1134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招标需求</w:t>
            </w: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054" w:firstLineChars="7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5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桌面级FDM打印机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EE6A2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成型技术： 熔融沉积成型（FDM）</w:t>
            </w:r>
          </w:p>
          <w:p w14:paraId="09567FF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成型尺寸： ≥ 220mm × 220mm × 250mm</w:t>
            </w:r>
          </w:p>
          <w:p w14:paraId="4F48C68C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打印精度（层厚）： ≤ 0.05mm - 0.3mm 可调</w:t>
            </w:r>
          </w:p>
          <w:p w14:paraId="5031A9FB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喷嘴最高温度： ≥ 250℃</w:t>
            </w:r>
          </w:p>
          <w:p w14:paraId="55BA0609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热床温度： ≥ 100℃（具备自动调平功能）</w:t>
            </w:r>
          </w:p>
          <w:p w14:paraId="7F99AB54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定位精度（XY轴）： ≤ 0.01mm</w:t>
            </w:r>
          </w:p>
          <w:p w14:paraId="32822E19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兼容材料： 需支持PLA、ABS、PETG等常见工程塑料</w:t>
            </w:r>
          </w:p>
          <w:p w14:paraId="268B7AD4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软件与连接： 支持USB、有线网络及SD卡脱机打印；兼容主流开源切片软件（如Cura， PrusaSlicer）</w:t>
            </w:r>
          </w:p>
          <w:p w14:paraId="2581FF5F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核心配置： 钣金或全金属框架，双Z轴，近端挤出机</w:t>
            </w:r>
          </w:p>
          <w:p w14:paraId="606BF85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其他要求： 设备运行噪音≤65分贝；提供详细中文操作手册及校内教师基础培训。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1223F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Ender-3 V3 KE</w:t>
            </w:r>
          </w:p>
          <w:p w14:paraId="49633E6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创想三维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桌面级FDM打印机（可彩打）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4009D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成型技术： 熔融沉积成型（FDM），支持多材料/多颜色同步打印</w:t>
            </w:r>
          </w:p>
          <w:p w14:paraId="7AA4110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成型尺寸： ≥ 256mm × 256mm × 256mm</w:t>
            </w:r>
          </w:p>
          <w:p w14:paraId="288B809C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打印精度（层厚）： ≤ 0.05mm - 0.3mm 可调</w:t>
            </w:r>
          </w:p>
          <w:p w14:paraId="2D238065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多色系统： 支持至少2种材料/颜色在单层内自动切换，无需人工干预</w:t>
            </w:r>
          </w:p>
          <w:p w14:paraId="2C15CFC4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核心运动系统： 采用CoreXY或等效高速稳定结构</w:t>
            </w:r>
          </w:p>
          <w:p w14:paraId="3F4DAD3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软件与智能： 标配原厂智能切片软件，支持模型自动排布、支撑生成、无线监控</w:t>
            </w:r>
          </w:p>
          <w:p w14:paraId="447AE3C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其他要求： 具备主动式腔体恒温系统（≥45℃），以提升打印大型ABS等材料的成功率；提供多色打印专用教学案例包。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1478F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H2S</w:t>
            </w:r>
          </w:p>
          <w:p w14:paraId="5498A55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拓竹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74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2FD86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10638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桌面级光固化打印机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CEAB3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成型技术： 液晶面光固化（LCD）</w:t>
            </w:r>
          </w:p>
          <w:p w14:paraId="2E2FA746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成型尺寸： ≥ 192mm × 120mm × 200mm</w:t>
            </w:r>
          </w:p>
          <w:p w14:paraId="52FFD0C8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打印精度（XY分辨率）： ≥ 4K（3840×2400像素或等效）</w:t>
            </w:r>
          </w:p>
          <w:p w14:paraId="3BDA4138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层厚设置范围： 0.01mm - 0.2mm</w:t>
            </w:r>
          </w:p>
          <w:p w14:paraId="75A79F37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光源系统： 采用矩阵式平行光源，寿命≥2000小时</w:t>
            </w:r>
          </w:p>
          <w:p w14:paraId="02ABCEAB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剥离系统： 具备线性导轨或智能扭矩控制，确保高成功率</w:t>
            </w:r>
          </w:p>
          <w:p w14:paraId="429A2334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软件要求： 标配或推荐兼容的专用切片软件，支持自动支撑、模型修复、镂空等功能</w:t>
            </w:r>
          </w:p>
          <w:p w14:paraId="1B3F9EFF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安全与环保： 设备需为封闭式或半封闭式结构，内置活性炭空气过滤系统</w:t>
            </w:r>
          </w:p>
          <w:p w14:paraId="7F480CB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其他要求： 兼容标准405nm波长光敏树脂；提供适用于医学模型打印的专用树脂样品及打印参数包。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B444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中健三维、汇丰创新、创想三维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BA33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DDC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C8786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2F9D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声速测定仪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53014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1.128×64带背光液晶屏显示；</w:t>
            </w:r>
          </w:p>
          <w:p w14:paraId="42561E4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2.正弦信号发生器：频率调节范围：20000Hz-60000Hz, 频率显示分辨率：1Hz;</w:t>
            </w:r>
          </w:p>
          <w:p w14:paraId="0A7E1695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3.信号源：1)双通道不低于30MHz,2)全功能脉冲</w:t>
            </w:r>
          </w:p>
          <w:p w14:paraId="4881AF6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信号产生器≥20MHz,上升下降时间可调。3)高频信号产生器输出信号可达≥180MHz,可进行包含ASK、FSK 等调制功能，且可进行任意波编辑，重建率80MHz。4) 内建6位，100MHz带宽的频率计数器。5)多种调变功 能：AM、FM、PM、ASK、FSK、PSK和PWM。6)3.8英寸 TFT显示。</w:t>
            </w:r>
          </w:p>
          <w:p w14:paraId="142F6FC7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4.脉冲信号计时器：量程0-9000μs,分辨率0.1μs;</w:t>
            </w:r>
          </w:p>
          <w:p w14:paraId="627DDBE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5.超声波传感器：收发分体，振荡频率37.0KHz左右， 功率小于15W;</w:t>
            </w:r>
          </w:p>
          <w:p w14:paraId="44C709A1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6.超声波传感器尺寸：辐射头直径4cm,压电陶瓷直 径2cm;</w:t>
            </w:r>
          </w:p>
          <w:p w14:paraId="38766D22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7.测量量程：0-350mm,分辨率：0.02mm;</w:t>
            </w:r>
          </w:p>
          <w:p w14:paraId="5160F29F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8.测量介质：液体、气体及固体；</w:t>
            </w:r>
          </w:p>
          <w:p w14:paraId="7D91A686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9.分体式水槽设计，使用方便。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5630">
            <w:pPr>
              <w:snapToGrid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FD-SV-C</w:t>
            </w:r>
          </w:p>
          <w:p w14:paraId="244D3CC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复旦天欣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49B8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12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3487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1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三维设计/切片软件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E9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软件组成： 必须包含商业级三维CAD设计软件（如SolidWorks, Autodesk Fusion 360, Siemens NX等）及专业3D打印切片软件（如Ultimaker Cura Professional, Simplify3D等）的合法授权。</w:t>
            </w:r>
          </w:p>
          <w:p w14:paraId="2CBF6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授权形式： 提供不少于10个并发用户的教育版网络许可。</w:t>
            </w:r>
          </w:p>
          <w:p w14:paraId="7303A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服务要求： 提供至少一年的免费升级与技术支持服务；供应商需提供针对教师的专场培训。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A8C93">
            <w:pPr>
              <w:widowControl/>
              <w:ind w:firstLine="30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37C2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1C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2CC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0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耗材 PLA 丝材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E0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  <w:t>1kg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690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B00D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CE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8F14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61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光敏树脂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FA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  <w:t>1kg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E3D0D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E27C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E0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E484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A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无水乙醇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FA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  <w:lang w:val="en-US" w:eastAsia="zh-CN" w:bidi="ar"/>
              </w:rPr>
              <w:t>2500ml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2D9A6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4093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753573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A10F4"/>
    <w:rsid w:val="029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 First Indent 2"/>
    <w:basedOn w:val="3"/>
    <w:next w:val="4"/>
    <w:qFormat/>
    <w:uiPriority w:val="0"/>
    <w:pPr>
      <w:ind w:firstLine="420" w:firstLineChars="200"/>
    </w:p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9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2026-03-24T07:36:00Z</dcterms:created>
  <dc:creator>心若向阳</dc:creator>
  <cp:lastModifiedBy>心若向阳</cp:lastModifiedBy>
  <dcterms:modified xsi:type="dcterms:W3CDTF">2026-03-24T07:36:54Z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0901A49D31BE4B138F959192BB752678_11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