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宋体" w:hAnsi="宋体"/>
          <w:b/>
          <w:color w:val="000000"/>
          <w:sz w:val="24"/>
        </w:rPr>
      </w:pPr>
      <w:bookmarkStart w:id="0" w:name="_GoBack"/>
      <w:r>
        <w:rPr>
          <w:rFonts w:hint="eastAsia" w:ascii="宋体" w:hAnsi="宋体"/>
          <w:b/>
          <w:color w:val="000000"/>
          <w:sz w:val="24"/>
        </w:rPr>
        <w:t>安徽新华学院2018年自动售货机投放组一览表</w:t>
      </w:r>
    </w:p>
    <w:bookmarkEnd w:id="0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具体投放组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第一投放位置组（13）</w:t>
            </w: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公寓4#楼（1台）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公寓7#楼（1台）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公寓13#楼（1台）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公寓15#楼（1台）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公寓20#楼（1台）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公寓24#楼（1台）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公寓25#楼（1台）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公寓28#楼（1台）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教学1#楼（1台）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教学8#楼（1台）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教学13#楼（1台）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实验3#楼（1台）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第二投放位置组（13）</w:t>
            </w: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公寓5#楼（1台）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公寓8#楼（1台）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公寓9#楼（1台）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公寓16#楼（1台）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公寓18#楼（1台）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公寓21#楼（1台）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公寓23#楼（1台）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公寓26#楼（1台）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公寓29#楼（1台）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大学生事务中心（1台）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教学11#楼（1台）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教学14#楼（1台）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实验4#楼（1台）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第三投放位置组（13）</w:t>
            </w: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公寓6#楼（1台）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公寓10#楼（1台）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公寓14#楼（1台）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公寓17#楼（1台）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公寓19#楼（1台）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公寓22#楼（1台）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公寓27#楼（1台）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公寓30#楼（1台）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教学5#楼（1台）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教学12#楼（1台）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教学15号楼（1台）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88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432" w:type="dxa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祥云体育场（1台）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2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备注：每投放组在确保现有数量的情况下，可根据意向增加校内其他位置的投放（不包含以上投放点）。</w:t>
            </w:r>
          </w:p>
        </w:tc>
      </w:tr>
    </w:tbl>
    <w:p/>
    <w:sectPr>
      <w:pgSz w:w="11906" w:h="16838"/>
      <w:pgMar w:top="1134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2EF2"/>
    <w:rsid w:val="09C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2018-06-20T06:37:00Z</dcterms:created>
  <dc:creator>千里草1403852088</dc:creator>
  <cp:lastModifiedBy>千里草1403852088</cp:lastModifiedBy>
  <dcterms:modified xsi:type="dcterms:W3CDTF">2018-06-20T06:38:54Z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